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22" w:rsidRDefault="00AB52C6" w:rsidP="001A0D22">
      <w:bookmarkStart w:id="0" w:name="_Toc365467714"/>
      <w:r w:rsidRPr="002837F7">
        <w:rPr>
          <w:noProof/>
          <w:lang w:eastAsia="en-GB"/>
        </w:rPr>
        <w:drawing>
          <wp:anchor distT="0" distB="0" distL="114300" distR="114300" simplePos="0" relativeHeight="251659264" behindDoc="0" locked="0" layoutInCell="1" allowOverlap="1">
            <wp:simplePos x="0" y="0"/>
            <wp:positionH relativeFrom="margin">
              <wp:posOffset>4986020</wp:posOffset>
            </wp:positionH>
            <wp:positionV relativeFrom="page">
              <wp:posOffset>657225</wp:posOffset>
            </wp:positionV>
            <wp:extent cx="864000" cy="58655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4000" cy="586558"/>
                    </a:xfrm>
                    <a:prstGeom prst="rect">
                      <a:avLst/>
                    </a:prstGeom>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margin">
              <wp:posOffset>-719455</wp:posOffset>
            </wp:positionH>
            <wp:positionV relativeFrom="paragraph">
              <wp:posOffset>-648335</wp:posOffset>
            </wp:positionV>
            <wp:extent cx="7189470" cy="224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52" r="2246" b="4966"/>
                    <a:stretch/>
                  </pic:blipFill>
                  <pic:spPr bwMode="auto">
                    <a:xfrm>
                      <a:off x="0" y="0"/>
                      <a:ext cx="7189470" cy="2247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A0D22" w:rsidRDefault="001A0D22" w:rsidP="00AB52C6">
      <w:pPr>
        <w:spacing w:after="0"/>
        <w:rPr>
          <w:lang w:val="en-US"/>
        </w:rPr>
      </w:pPr>
    </w:p>
    <w:p w:rsidR="001A0D22" w:rsidRPr="00AB52C6" w:rsidRDefault="00AB52C6" w:rsidP="00AB52C6">
      <w:pPr>
        <w:spacing w:after="240"/>
        <w:rPr>
          <w:color w:val="84CAF1"/>
          <w:lang w:val="en-US"/>
        </w:rPr>
      </w:pPr>
      <w:r w:rsidRPr="00AB52C6">
        <w:rPr>
          <w:color w:val="84CAF1"/>
          <w:lang w:val="en-US"/>
        </w:rPr>
        <w:t xml:space="preserve">Published </w:t>
      </w:r>
      <w:r w:rsidR="00F026A8">
        <w:rPr>
          <w:color w:val="84CAF1"/>
          <w:lang w:val="en-US"/>
        </w:rPr>
        <w:t>September 2021</w:t>
      </w:r>
    </w:p>
    <w:p w:rsidR="001A0D22" w:rsidRPr="00AB52C6" w:rsidRDefault="00F026A8" w:rsidP="00F026A8">
      <w:pPr>
        <w:pBdr>
          <w:top w:val="single" w:sz="4" w:space="15" w:color="FFFFFF" w:themeColor="background1"/>
        </w:pBdr>
        <w:tabs>
          <w:tab w:val="left" w:pos="5715"/>
          <w:tab w:val="left" w:pos="6885"/>
          <w:tab w:val="right" w:pos="9070"/>
        </w:tabs>
        <w:spacing w:after="240"/>
        <w:rPr>
          <w:color w:val="FFFFFF" w:themeColor="background1"/>
          <w:lang w:val="en-US"/>
        </w:rPr>
      </w:pPr>
      <w:r w:rsidRPr="00F026A8">
        <w:rPr>
          <w:color w:val="FFFFFF" w:themeColor="background1"/>
          <w:sz w:val="44"/>
          <w:szCs w:val="40"/>
          <w:lang w:val="en-US"/>
        </w:rPr>
        <w:t>Hormone Replacement Therapy (HRT)</w:t>
      </w:r>
      <w:r w:rsidR="00AB52C6" w:rsidRPr="00AB52C6">
        <w:rPr>
          <w:color w:val="FFFFFF" w:themeColor="background1"/>
          <w:lang w:val="en-US"/>
        </w:rPr>
        <w:tab/>
      </w:r>
      <w:r w:rsidR="00AB52C6" w:rsidRPr="00AB52C6">
        <w:rPr>
          <w:color w:val="FFFFFF" w:themeColor="background1"/>
          <w:lang w:val="en-US"/>
        </w:rPr>
        <w:tab/>
      </w:r>
      <w:r w:rsidR="00AB52C6" w:rsidRPr="00AB52C6">
        <w:rPr>
          <w:color w:val="FFFFFF" w:themeColor="background1"/>
          <w:lang w:val="en-US"/>
        </w:rPr>
        <w:tab/>
      </w:r>
    </w:p>
    <w:bookmarkEnd w:id="0"/>
    <w:p w:rsidR="00946A5E" w:rsidRDefault="00F026A8" w:rsidP="00B135AE">
      <w:pPr>
        <w:pStyle w:val="Heading1"/>
        <w:rPr>
          <w:sz w:val="44"/>
          <w:szCs w:val="18"/>
        </w:rPr>
      </w:pPr>
      <w:r w:rsidRPr="00F026A8">
        <w:rPr>
          <w:sz w:val="44"/>
          <w:szCs w:val="18"/>
        </w:rPr>
        <w:t>Benefits and Risks</w:t>
      </w:r>
      <w:r>
        <w:rPr>
          <w:sz w:val="44"/>
          <w:szCs w:val="18"/>
        </w:rPr>
        <w:t xml:space="preserve"> – The Facts</w:t>
      </w:r>
    </w:p>
    <w:p w:rsidR="00F026A8" w:rsidRDefault="00BF176B" w:rsidP="00F026A8">
      <w:pPr>
        <w:pStyle w:val="Heading3"/>
      </w:pPr>
      <w:r>
        <w:t>The Menopause</w:t>
      </w:r>
    </w:p>
    <w:p w:rsidR="00F026A8" w:rsidRDefault="00F026A8" w:rsidP="00F026A8">
      <w:r w:rsidRPr="001120FF">
        <w:t>Women make up 51% of the population</w:t>
      </w:r>
      <w:r>
        <w:t>, however the menopause and the impact of this natural change on women is often seen as a taboo subject.</w:t>
      </w:r>
    </w:p>
    <w:p w:rsidR="00F026A8" w:rsidRDefault="00F026A8" w:rsidP="00F026A8">
      <w:r>
        <w:t xml:space="preserve">The average age of the menopause is 51, although this age can vary greatly. The menopause itself only lasts for one day, because it simply marks the one-year anniversary since your last period. </w:t>
      </w:r>
      <w:proofErr w:type="spellStart"/>
      <w:r>
        <w:t>Perimenopause</w:t>
      </w:r>
      <w:proofErr w:type="spellEnd"/>
      <w:r>
        <w:t xml:space="preserve"> is perhaps a more accurate term to describe the period of time in which you will have cycles but start to experience “menopausal” symptoms. </w:t>
      </w:r>
    </w:p>
    <w:p w:rsidR="00F026A8" w:rsidRDefault="00F026A8" w:rsidP="00F026A8">
      <w:r>
        <w:t xml:space="preserve">This period of hormonal change can last from between 2 – 12 years. For many women they can pass through the </w:t>
      </w:r>
      <w:proofErr w:type="spellStart"/>
      <w:r>
        <w:t>perimenopause</w:t>
      </w:r>
      <w:proofErr w:type="spellEnd"/>
      <w:r>
        <w:t xml:space="preserve"> without any significant issues, while for others they may experience a range of challenges and issues.</w:t>
      </w:r>
    </w:p>
    <w:p w:rsidR="00F026A8" w:rsidRDefault="00F026A8" w:rsidP="00F026A8">
      <w:r>
        <w:t>For some women they want to manage this change “naturally” while others would prefer a medical intervention such as hormone replacement therapy. There is no right or wrong, when</w:t>
      </w:r>
      <w:r w:rsidR="00BF176B">
        <w:t xml:space="preserve"> it comes to managing the menopause</w:t>
      </w:r>
      <w:r>
        <w:t xml:space="preserve"> and the options available to us often come down to indivi</w:t>
      </w:r>
      <w:r w:rsidR="00BF176B">
        <w:t>dual circumstances and preferences</w:t>
      </w:r>
      <w:r>
        <w:t xml:space="preserve">. </w:t>
      </w:r>
    </w:p>
    <w:p w:rsidR="00F026A8" w:rsidRDefault="00F026A8" w:rsidP="00F026A8">
      <w:r>
        <w:t xml:space="preserve">This </w:t>
      </w:r>
      <w:proofErr w:type="gramStart"/>
      <w:r>
        <w:t>book</w:t>
      </w:r>
      <w:r w:rsidR="00BF176B">
        <w:t xml:space="preserve">let </w:t>
      </w:r>
      <w:r>
        <w:t xml:space="preserve"> to</w:t>
      </w:r>
      <w:proofErr w:type="gramEnd"/>
      <w:r>
        <w:t xml:space="preserve"> outline</w:t>
      </w:r>
      <w:r w:rsidR="00BF176B">
        <w:t xml:space="preserve">s </w:t>
      </w:r>
      <w:r>
        <w:t xml:space="preserve"> one option that can be used by women to help manage the change - Hormone Replacement Therapy (HRT) and</w:t>
      </w:r>
      <w:r w:rsidR="00BF176B">
        <w:t xml:space="preserve"> to provide you with an unbiased </w:t>
      </w:r>
      <w:r>
        <w:t xml:space="preserve"> outline of the benefits and risks, should you consider this approach to managing the menopause.</w:t>
      </w:r>
    </w:p>
    <w:p w:rsidR="00F026A8" w:rsidRPr="00F026A8" w:rsidRDefault="00F026A8" w:rsidP="00F026A8">
      <w:r w:rsidRPr="00F026A8">
        <w:rPr>
          <w:b/>
          <w:bCs/>
        </w:rPr>
        <w:t>The British Menopause Society</w:t>
      </w:r>
      <w:r w:rsidRPr="00F026A8">
        <w:t xml:space="preserve"> – </w:t>
      </w:r>
      <w:hyperlink r:id="rId10" w:history="1">
        <w:r w:rsidRPr="00F026A8">
          <w:rPr>
            <w:rStyle w:val="Hyperlink"/>
          </w:rPr>
          <w:t>www.thebms.org.uk</w:t>
        </w:r>
      </w:hyperlink>
    </w:p>
    <w:p w:rsidR="00F026A8" w:rsidRDefault="00F026A8" w:rsidP="00F026A8">
      <w:r w:rsidRPr="00F026A8">
        <w:rPr>
          <w:b/>
          <w:bCs/>
        </w:rPr>
        <w:t>NHS Information</w:t>
      </w:r>
      <w:r w:rsidRPr="00F026A8">
        <w:t xml:space="preserve"> – </w:t>
      </w:r>
      <w:r w:rsidRPr="00F026A8">
        <w:rPr>
          <w:rStyle w:val="Hyperlink"/>
        </w:rPr>
        <w:t>www.patient.co.uk/menopause</w:t>
      </w:r>
    </w:p>
    <w:p w:rsidR="00F026A8" w:rsidRDefault="00F026A8" w:rsidP="00F026A8">
      <w:r>
        <w:br w:type="page"/>
      </w:r>
    </w:p>
    <w:p w:rsidR="00F026A8" w:rsidRPr="001120FF" w:rsidRDefault="00F026A8" w:rsidP="00F026A8">
      <w:pPr>
        <w:pStyle w:val="Heading3"/>
      </w:pPr>
      <w:r w:rsidRPr="001120FF">
        <w:lastRenderedPageBreak/>
        <w:t>Hormone Replacement Therapy (HRT)</w:t>
      </w:r>
      <w:r>
        <w:t xml:space="preserve"> introduction</w:t>
      </w:r>
    </w:p>
    <w:p w:rsidR="00F026A8" w:rsidRPr="00CC2613" w:rsidRDefault="00BF176B" w:rsidP="00F026A8">
      <w:r>
        <w:t>Hormone Replacement Therapy or</w:t>
      </w:r>
      <w:r w:rsidR="00F026A8">
        <w:t xml:space="preserve"> more commonly referred to as </w:t>
      </w:r>
      <w:r w:rsidR="00F026A8" w:rsidRPr="00CC2613">
        <w:t>HRT is a prescription only treatment that replaces some of the lost oestrogen and progestogen hormones which occur during menopause.</w:t>
      </w:r>
      <w:r w:rsidR="00C74935">
        <w:t xml:space="preserve"> </w:t>
      </w:r>
      <w:r w:rsidR="00F026A8" w:rsidRPr="00CC2613">
        <w:t>It can be used to reli</w:t>
      </w:r>
      <w:r>
        <w:t>e</w:t>
      </w:r>
      <w:r w:rsidR="00F026A8" w:rsidRPr="00CC2613">
        <w:t>ve symptoms of menopause.</w:t>
      </w:r>
      <w:r w:rsidR="00C74935">
        <w:t xml:space="preserve"> </w:t>
      </w:r>
      <w:r w:rsidR="00F026A8" w:rsidRPr="00CC2613">
        <w:t>If an early menopause has occurred, it is ofte</w:t>
      </w:r>
      <w:r>
        <w:t>n recommended that a woman takes</w:t>
      </w:r>
      <w:r w:rsidR="00F026A8" w:rsidRPr="00CC2613">
        <w:t xml:space="preserve"> HRT until she reaches the usual menopause </w:t>
      </w:r>
      <w:r>
        <w:t xml:space="preserve">age – in particular to </w:t>
      </w:r>
      <w:r w:rsidRPr="00CC2613">
        <w:t>maintain</w:t>
      </w:r>
      <w:r w:rsidR="00F026A8" w:rsidRPr="00CC2613">
        <w:t xml:space="preserve"> bone and heart health. </w:t>
      </w:r>
    </w:p>
    <w:p w:rsidR="00F026A8" w:rsidRPr="00CC2613" w:rsidRDefault="00F026A8" w:rsidP="00F026A8">
      <w:r w:rsidRPr="00CC2613">
        <w:t>In recent years there have been concerns raised about HRT and the potential risks to various aspects of women’s health.</w:t>
      </w:r>
      <w:r w:rsidR="00C74935">
        <w:t xml:space="preserve"> </w:t>
      </w:r>
    </w:p>
    <w:p w:rsidR="00F026A8" w:rsidRDefault="00F026A8" w:rsidP="00F026A8">
      <w:pPr>
        <w:spacing w:after="360"/>
      </w:pPr>
      <w:r w:rsidRPr="00CC2613">
        <w:t>This leaflet sets out the known facts about HRT.</w:t>
      </w:r>
      <w:r w:rsidR="00C74935">
        <w:t xml:space="preserve"> </w:t>
      </w:r>
      <w:r w:rsidRPr="00CC2613">
        <w:t xml:space="preserve">If briefly summarises the results of studies regarding its safety and addresses the controversy that still surrounds its use. </w:t>
      </w:r>
    </w:p>
    <w:p w:rsidR="00F026A8" w:rsidRPr="00B3042F" w:rsidRDefault="00F026A8" w:rsidP="00F026A8">
      <w:pPr>
        <w:pStyle w:val="Heading3"/>
      </w:pPr>
      <w:r w:rsidRPr="00B3042F">
        <w:t xml:space="preserve">HRT </w:t>
      </w:r>
      <w:r>
        <w:t>Misinformation</w:t>
      </w:r>
    </w:p>
    <w:p w:rsidR="00F026A8" w:rsidRPr="00CC2613" w:rsidRDefault="00F026A8" w:rsidP="00F026A8">
      <w:r w:rsidRPr="00CC2613">
        <w:t>In the 1990’s two of the largest studies on HRT were undertaken; a clinical randomised trial in the USA Women’s Health Initiative (WHI), and an observational questionnaire in the UK – Million Women Study (WMS).</w:t>
      </w:r>
      <w:r w:rsidR="00C74935">
        <w:t xml:space="preserve"> </w:t>
      </w:r>
      <w:r w:rsidRPr="00CC2613">
        <w:t>The initial results of these two studies were published during 2002 and 2003 and raised concerns regarding the safety of HRT.</w:t>
      </w:r>
      <w:r w:rsidR="00C74935">
        <w:t xml:space="preserve"> </w:t>
      </w:r>
      <w:r w:rsidRPr="00CC2613">
        <w:t>In particular, results suggested that prolonged use of HRT increases the risk of breast cancer, and that HRT can increase the risk of heart disease.</w:t>
      </w:r>
    </w:p>
    <w:p w:rsidR="00F026A8" w:rsidRPr="00CC2613" w:rsidRDefault="00F026A8" w:rsidP="00F026A8">
      <w:r w:rsidRPr="00CC2613">
        <w:t>The findings received wide publicity and ca</w:t>
      </w:r>
      <w:r w:rsidR="00BF176B">
        <w:t>u</w:t>
      </w:r>
      <w:r w:rsidRPr="00CC2613">
        <w:t>sed panic amongst users and healthcare professionals.</w:t>
      </w:r>
      <w:r w:rsidR="00C74935">
        <w:t xml:space="preserve"> </w:t>
      </w:r>
      <w:r w:rsidRPr="00CC2613">
        <w:t>As a result many women chose to, or were advised to, stop taking their HRT.</w:t>
      </w:r>
      <w:r w:rsidR="00C74935">
        <w:t xml:space="preserve"> </w:t>
      </w:r>
    </w:p>
    <w:p w:rsidR="00F026A8" w:rsidRDefault="00F026A8" w:rsidP="005F6F5B">
      <w:pPr>
        <w:spacing w:after="240"/>
      </w:pPr>
      <w:r w:rsidRPr="00CC2613">
        <w:t>A number of expert panels, including The British Menopause Society, responded by indentifying flaws and shortcomings with both studies:</w:t>
      </w:r>
    </w:p>
    <w:p w:rsidR="00F026A8" w:rsidRPr="005F6F5B" w:rsidRDefault="00F026A8" w:rsidP="005F6F5B">
      <w:pPr>
        <w:spacing w:after="360"/>
        <w:ind w:left="680" w:right="680"/>
        <w:rPr>
          <w:i/>
          <w:iCs/>
        </w:rPr>
      </w:pPr>
      <w:r w:rsidRPr="005F6F5B">
        <w:rPr>
          <w:i/>
          <w:iCs/>
        </w:rPr>
        <w:t>The women in the WHI study were North American. Many were obese and in their mid-sixties.</w:t>
      </w:r>
      <w:r w:rsidR="00C74935">
        <w:rPr>
          <w:i/>
          <w:iCs/>
        </w:rPr>
        <w:t xml:space="preserve"> </w:t>
      </w:r>
      <w:r w:rsidRPr="005F6F5B">
        <w:rPr>
          <w:i/>
          <w:iCs/>
        </w:rPr>
        <w:t>Their risk of cancer, stroke and heart disease would therefore be higher than in younger, non-obese women.</w:t>
      </w:r>
      <w:r w:rsidR="00C74935">
        <w:rPr>
          <w:i/>
          <w:iCs/>
        </w:rPr>
        <w:t xml:space="preserve"> </w:t>
      </w:r>
      <w:r w:rsidRPr="005F6F5B">
        <w:rPr>
          <w:i/>
          <w:iCs/>
        </w:rPr>
        <w:t>WHI only looked at one dose and type of HRT.</w:t>
      </w:r>
      <w:r w:rsidR="00C74935">
        <w:rPr>
          <w:i/>
          <w:iCs/>
        </w:rPr>
        <w:t xml:space="preserve"> </w:t>
      </w:r>
      <w:r w:rsidRPr="005F6F5B">
        <w:rPr>
          <w:i/>
          <w:iCs/>
        </w:rPr>
        <w:t>The dose used was considered too high (by UK experts) for these older women and would generally not be used in the UK. Therefore the results are not comparable to common practice in the UK.</w:t>
      </w:r>
    </w:p>
    <w:p w:rsidR="00F026A8" w:rsidRPr="00CC2613" w:rsidRDefault="00F026A8" w:rsidP="005F6F5B">
      <w:r w:rsidRPr="00CC2613">
        <w:t>MWS’s research methodology has been criticised.</w:t>
      </w:r>
      <w:r w:rsidR="00C74935">
        <w:t xml:space="preserve"> </w:t>
      </w:r>
      <w:r w:rsidRPr="00CC2613">
        <w:t>The women were self-selecting and self-reporting HRT users, many dropped out of the study, and since it was not a randomised controlled trial, there wasn’t a control group to compare findings against.</w:t>
      </w:r>
      <w:r w:rsidR="00C74935">
        <w:t xml:space="preserve"> </w:t>
      </w:r>
      <w:r w:rsidRPr="00CC2613">
        <w:t>Follow up was undertaken through cancer registries, not by further questionnaires – so changes in HRT usage after initial registration were not recorded.</w:t>
      </w:r>
      <w:r w:rsidR="00C74935">
        <w:t xml:space="preserve"> </w:t>
      </w:r>
    </w:p>
    <w:p w:rsidR="00F026A8" w:rsidRPr="00CC2613" w:rsidRDefault="00F026A8" w:rsidP="005F6F5B">
      <w:r w:rsidRPr="00CC2613">
        <w:t>When the full WHI results were subsequently published it showed that the apparent increased risk of breast cancer was only found in women who were already taking HRT before entering the study.</w:t>
      </w:r>
      <w:r w:rsidR="00C74935">
        <w:t xml:space="preserve"> </w:t>
      </w:r>
    </w:p>
    <w:p w:rsidR="00F026A8" w:rsidRPr="00CC2613" w:rsidRDefault="00F026A8" w:rsidP="005F6F5B"/>
    <w:p w:rsidR="00F026A8" w:rsidRPr="00CC2613" w:rsidRDefault="00F026A8" w:rsidP="005F6F5B">
      <w:pPr>
        <w:spacing w:after="240"/>
      </w:pPr>
      <w:r w:rsidRPr="00CC2613">
        <w:lastRenderedPageBreak/>
        <w:t>The authors of WHI now state that the risk of breast cancer was exaggerated:</w:t>
      </w:r>
      <w:r w:rsidR="00C74935">
        <w:t xml:space="preserve"> </w:t>
      </w:r>
    </w:p>
    <w:p w:rsidR="00F026A8" w:rsidRPr="005F6F5B" w:rsidRDefault="00F026A8" w:rsidP="005F6F5B">
      <w:pPr>
        <w:spacing w:after="360"/>
        <w:ind w:left="680" w:right="680"/>
        <w:rPr>
          <w:i/>
          <w:iCs/>
        </w:rPr>
      </w:pPr>
      <w:r w:rsidRPr="005F6F5B">
        <w:rPr>
          <w:i/>
          <w:iCs/>
        </w:rPr>
        <w:t xml:space="preserve">Increase in risk of breast cancer with combined HRT in WHI was much less than initially reported and equates to 4 extra cases per 1000 women after 5 years use (this risk is less than that caused by smoking </w:t>
      </w:r>
      <w:proofErr w:type="gramStart"/>
      <w:r w:rsidRPr="005F6F5B">
        <w:rPr>
          <w:i/>
          <w:iCs/>
        </w:rPr>
        <w:t>10 cigarettes/day</w:t>
      </w:r>
      <w:proofErr w:type="gramEnd"/>
      <w:r w:rsidRPr="005F6F5B">
        <w:rPr>
          <w:i/>
          <w:iCs/>
        </w:rPr>
        <w:t>, alcohol and obesity). Other risks were exaggerated whilst benefits for middle-aged women were disregarded.</w:t>
      </w:r>
    </w:p>
    <w:p w:rsidR="00F026A8" w:rsidRDefault="00F026A8" w:rsidP="005F6F5B">
      <w:r>
        <w:t>In addition, whereas the reports initially claimed that there was no difference in risks with age, further analysis of the WHI report confirms that starting HRT after the age of 60 may increase the risks of heart disease.</w:t>
      </w:r>
      <w:r w:rsidR="00C74935">
        <w:t xml:space="preserve"> </w:t>
      </w:r>
      <w:r>
        <w:t>Both studies showed no increase in heart disease in women starting HRT within 10 years of the menopause.</w:t>
      </w:r>
      <w:r w:rsidR="00C74935">
        <w:t xml:space="preserve"> </w:t>
      </w:r>
    </w:p>
    <w:p w:rsidR="00F026A8" w:rsidRDefault="00F026A8" w:rsidP="005F6F5B">
      <w:r>
        <w:t>Follow up studies carried out by some of WHI’s leading investigators now say that the benefits of HRT outweigh the risk for healthy women in their 50’s who are suffering from menopause symptoms.</w:t>
      </w:r>
      <w:r w:rsidR="00C74935">
        <w:t xml:space="preserve"> </w:t>
      </w:r>
      <w:r w:rsidR="00993AF2">
        <w:t>Dr</w:t>
      </w:r>
      <w:r w:rsidR="003C0B3B">
        <w:t xml:space="preserve"> R</w:t>
      </w:r>
      <w:r w:rsidR="00993AF2">
        <w:t>o</w:t>
      </w:r>
      <w:r>
        <w:t xml:space="preserve">bert Langer, Principal Investigator of WHI says “with 10 years hindsight we can put the lessons learned from the WHI trial into perspective. </w:t>
      </w:r>
      <w:r w:rsidR="005F6F5B">
        <w:br/>
      </w:r>
      <w:r>
        <w:t>Over generalising the results from the women who were, on average, 12 years post menopause to all (younger) post menopause women has led to needless suffering and lost opportunities for many. A further report from Dr Langer, published 2017, concludes that:</w:t>
      </w:r>
    </w:p>
    <w:p w:rsidR="00F026A8" w:rsidRDefault="00F026A8" w:rsidP="005F6F5B">
      <w:pPr>
        <w:ind w:left="680" w:right="680"/>
      </w:pPr>
      <w:r>
        <w:t>“</w:t>
      </w:r>
      <w:proofErr w:type="gramStart"/>
      <w:r w:rsidRPr="00DC4B51">
        <w:rPr>
          <w:i/>
        </w:rPr>
        <w:t>it</w:t>
      </w:r>
      <w:proofErr w:type="gramEnd"/>
      <w:r w:rsidRPr="00DC4B51">
        <w:rPr>
          <w:i/>
        </w:rPr>
        <w:t xml:space="preserve"> is time to get past the misinformation and hysteria generated by the highly irregular circumstances of the WHI and stop denying potential benefits (control of vasomotor symptoms, prevention of fractures and coronary heart disease) to women</w:t>
      </w:r>
      <w:r>
        <w:t>.”</w:t>
      </w:r>
    </w:p>
    <w:p w:rsidR="00F026A8" w:rsidRDefault="00F026A8" w:rsidP="00F026A8">
      <w:pPr>
        <w:tabs>
          <w:tab w:val="left" w:pos="10348"/>
        </w:tabs>
        <w:spacing w:after="0" w:line="240" w:lineRule="auto"/>
        <w:jc w:val="both"/>
        <w:rPr>
          <w:rFonts w:ascii="Arial" w:hAnsi="Arial" w:cs="Arial"/>
        </w:rPr>
      </w:pPr>
    </w:p>
    <w:p w:rsidR="00F026A8" w:rsidRPr="00B3042F" w:rsidRDefault="00F026A8" w:rsidP="005F6F5B">
      <w:pPr>
        <w:pStyle w:val="Heading3"/>
      </w:pPr>
      <w:r w:rsidRPr="00B3042F">
        <w:t xml:space="preserve">HRT </w:t>
      </w:r>
      <w:r>
        <w:t xml:space="preserve">benefits and </w:t>
      </w:r>
      <w:r w:rsidRPr="00B3042F">
        <w:t>risk</w:t>
      </w:r>
    </w:p>
    <w:p w:rsidR="00F026A8" w:rsidRDefault="00F026A8" w:rsidP="005F6F5B">
      <w:r>
        <w:t>Level of risk for HRT use has actually remained unchanged for many years. In 2015, NICE published the first national Menopause guidance.</w:t>
      </w:r>
      <w:r w:rsidR="00C74935">
        <w:t xml:space="preserve"> </w:t>
      </w:r>
      <w:r>
        <w:t>A review of risks and benefits of UK prescribed HRT was undertaken.</w:t>
      </w:r>
      <w:r w:rsidR="00C74935">
        <w:t xml:space="preserve"> </w:t>
      </w:r>
      <w:r>
        <w:t xml:space="preserve">Their findings are in line with the full published results of both WHI and MWS. </w:t>
      </w:r>
    </w:p>
    <w:p w:rsidR="00F026A8" w:rsidRDefault="00F026A8" w:rsidP="005F6F5B">
      <w:r>
        <w:t>The findings are summarised in the tables below with the overarching conclusion that g</w:t>
      </w:r>
      <w:r w:rsidRPr="000D44E1">
        <w:t xml:space="preserve">enerally, for health, younger women, within 10 years of their menopause, the benefits </w:t>
      </w:r>
      <w:r w:rsidR="005F6F5B">
        <w:br/>
      </w:r>
      <w:r w:rsidRPr="000D44E1">
        <w:t>of HRT outweigh the risk.</w:t>
      </w:r>
      <w:r w:rsidR="00C74935">
        <w:t xml:space="preserve"> </w:t>
      </w:r>
      <w:r w:rsidRPr="000D44E1">
        <w:t>However, older women, over 60 years of age and beyond, are often at higher risk of cardiovascular disease, and therefore, the risk of HRT often outweighs the benefits</w:t>
      </w:r>
      <w:r>
        <w:t>.</w:t>
      </w:r>
    </w:p>
    <w:p w:rsidR="005F6F5B" w:rsidRDefault="005F6F5B" w:rsidP="005F6F5B">
      <w:pPr>
        <w:rPr>
          <w:b/>
          <w:bCs/>
        </w:rPr>
      </w:pPr>
      <w:r>
        <w:rPr>
          <w:b/>
          <w:bCs/>
        </w:rPr>
        <w:br w:type="page"/>
      </w:r>
    </w:p>
    <w:p w:rsidR="00F026A8" w:rsidRPr="001C5DC3" w:rsidRDefault="00F026A8" w:rsidP="005F6F5B">
      <w:r w:rsidRPr="005F6F5B">
        <w:rPr>
          <w:b/>
          <w:bCs/>
        </w:rPr>
        <w:lastRenderedPageBreak/>
        <w:t>Table 1</w:t>
      </w:r>
      <w:r w:rsidR="005F6F5B">
        <w:rPr>
          <w:b/>
          <w:bCs/>
        </w:rPr>
        <w:t>:</w:t>
      </w:r>
      <w:r w:rsidRPr="001C5DC3">
        <w:t xml:space="preserve"> Absolute rate of coronary heart disease for different type of HRT compared with no HRT (or placebo), different durations of HRT use and time since stopping HRT for menopausal women</w:t>
      </w:r>
      <w:r w:rsidR="005F6F5B">
        <w:t>.</w:t>
      </w:r>
    </w:p>
    <w:p w:rsidR="00F026A8" w:rsidRDefault="00F026A8" w:rsidP="00F026A8">
      <w:pPr>
        <w:spacing w:after="0" w:line="240" w:lineRule="auto"/>
        <w:jc w:val="both"/>
        <w:rPr>
          <w:rFonts w:ascii="Arial" w:hAnsi="Arial" w:cs="Arial"/>
        </w:rPr>
      </w:pPr>
    </w:p>
    <w:tbl>
      <w:tblPr>
        <w:tblW w:w="0" w:type="auto"/>
        <w:tblInd w:w="197" w:type="dxa"/>
        <w:tblBorders>
          <w:top w:val="single" w:sz="4" w:space="0" w:color="1B4C87" w:themeColor="text2"/>
          <w:left w:val="single" w:sz="4" w:space="0" w:color="1B4C87" w:themeColor="text2"/>
          <w:bottom w:val="single" w:sz="4" w:space="0" w:color="1B4C87" w:themeColor="text2"/>
          <w:right w:val="single" w:sz="4" w:space="0" w:color="1B4C87" w:themeColor="text2"/>
          <w:insideH w:val="single" w:sz="4" w:space="0" w:color="1B4C87" w:themeColor="text2"/>
          <w:insideV w:val="single" w:sz="4" w:space="0" w:color="1B4C87" w:themeColor="text2"/>
        </w:tblBorders>
        <w:tblCellMar>
          <w:top w:w="85" w:type="dxa"/>
          <w:bottom w:w="85" w:type="dxa"/>
        </w:tblCellMar>
        <w:tblLook w:val="0000"/>
      </w:tblPr>
      <w:tblGrid>
        <w:gridCol w:w="1445"/>
        <w:gridCol w:w="1706"/>
        <w:gridCol w:w="1377"/>
        <w:gridCol w:w="1524"/>
        <w:gridCol w:w="1543"/>
        <w:gridCol w:w="1494"/>
      </w:tblGrid>
      <w:tr w:rsidR="00EE7484" w:rsidTr="00EE7484">
        <w:trPr>
          <w:trHeight w:val="967"/>
        </w:trPr>
        <w:tc>
          <w:tcPr>
            <w:tcW w:w="3283"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26A8" w:rsidRDefault="00F026A8" w:rsidP="005F6F5B">
            <w:pPr>
              <w:spacing w:after="0" w:line="240" w:lineRule="auto"/>
            </w:pPr>
          </w:p>
        </w:tc>
        <w:tc>
          <w:tcPr>
            <w:tcW w:w="7187" w:type="dxa"/>
            <w:gridSpan w:val="4"/>
            <w:tcBorders>
              <w:left w:val="single" w:sz="4" w:space="0" w:color="FFFFFF" w:themeColor="background1"/>
              <w:bottom w:val="single" w:sz="4" w:space="0" w:color="009FE2" w:themeColor="background2"/>
            </w:tcBorders>
            <w:shd w:val="clear" w:color="auto" w:fill="1B4C87" w:themeFill="text2"/>
          </w:tcPr>
          <w:p w:rsidR="00F026A8" w:rsidRDefault="00F026A8" w:rsidP="005F6F5B">
            <w:pPr>
              <w:spacing w:after="0" w:line="240" w:lineRule="auto"/>
            </w:pPr>
            <w:r w:rsidRPr="005F6F5B">
              <w:rPr>
                <w:color w:val="FFFFFF" w:themeColor="background1"/>
              </w:rPr>
              <w:t>Difference in coronary heart disease incidence per 1000 menopausal women over 7.5 years (95% confidence interval) (baseline population risk in the UK over 7.5 years: 26.3 per 1000</w:t>
            </w:r>
            <w:r w:rsidRPr="005F6F5B">
              <w:rPr>
                <w:rFonts w:ascii="Calibri" w:hAnsi="Calibri" w:cs="Calibri"/>
                <w:color w:val="FFFFFF" w:themeColor="background1"/>
              </w:rPr>
              <w:t>₁</w:t>
            </w:r>
          </w:p>
        </w:tc>
      </w:tr>
      <w:tr w:rsidR="00EE7484" w:rsidTr="00EE7484">
        <w:trPr>
          <w:trHeight w:val="724"/>
        </w:trPr>
        <w:tc>
          <w:tcPr>
            <w:tcW w:w="3283" w:type="dxa"/>
            <w:gridSpan w:val="2"/>
            <w:vMerge/>
            <w:tcBorders>
              <w:left w:val="single" w:sz="4" w:space="0" w:color="FFFFFF" w:themeColor="background1"/>
              <w:bottom w:val="single" w:sz="4" w:space="0" w:color="FFFFFF" w:themeColor="background1"/>
              <w:right w:val="single" w:sz="4" w:space="0" w:color="FFFFFF" w:themeColor="background1"/>
            </w:tcBorders>
          </w:tcPr>
          <w:p w:rsidR="00F026A8" w:rsidRDefault="00F026A8" w:rsidP="005F6F5B">
            <w:pPr>
              <w:spacing w:after="0" w:line="240" w:lineRule="auto"/>
            </w:pPr>
          </w:p>
        </w:tc>
        <w:tc>
          <w:tcPr>
            <w:tcW w:w="1701" w:type="dxa"/>
            <w:tcBorders>
              <w:top w:val="single" w:sz="4" w:space="0" w:color="009FE2" w:themeColor="background2"/>
              <w:left w:val="single" w:sz="4" w:space="0" w:color="FFFFFF" w:themeColor="background1"/>
              <w:bottom w:val="single" w:sz="4" w:space="0" w:color="009FE2" w:themeColor="background2"/>
              <w:right w:val="single" w:sz="4" w:space="0" w:color="FFFFFF" w:themeColor="background1"/>
            </w:tcBorders>
            <w:shd w:val="clear" w:color="auto" w:fill="009FE2" w:themeFill="background2"/>
          </w:tcPr>
          <w:p w:rsidR="00F026A8" w:rsidRPr="005F6F5B" w:rsidRDefault="00F026A8" w:rsidP="005F6F5B">
            <w:pPr>
              <w:spacing w:after="0" w:line="240" w:lineRule="auto"/>
              <w:rPr>
                <w:color w:val="FFFFFF" w:themeColor="background1"/>
              </w:rPr>
            </w:pPr>
            <w:r w:rsidRPr="005F6F5B">
              <w:rPr>
                <w:color w:val="FFFFFF" w:themeColor="background1"/>
              </w:rPr>
              <w:t>Current HRT</w:t>
            </w:r>
          </w:p>
          <w:p w:rsidR="00F026A8" w:rsidRPr="005F6F5B" w:rsidRDefault="00F026A8" w:rsidP="005F6F5B">
            <w:pPr>
              <w:spacing w:after="0" w:line="240" w:lineRule="auto"/>
              <w:rPr>
                <w:color w:val="FFFFFF" w:themeColor="background1"/>
              </w:rPr>
            </w:pPr>
            <w:r w:rsidRPr="005F6F5B">
              <w:rPr>
                <w:color w:val="FFFFFF" w:themeColor="background1"/>
              </w:rPr>
              <w:t>users</w:t>
            </w:r>
          </w:p>
        </w:tc>
        <w:tc>
          <w:tcPr>
            <w:tcW w:w="1823" w:type="dxa"/>
            <w:tcBorders>
              <w:top w:val="single" w:sz="4" w:space="0" w:color="009FE2" w:themeColor="background2"/>
              <w:left w:val="single" w:sz="4" w:space="0" w:color="FFFFFF" w:themeColor="background1"/>
              <w:bottom w:val="single" w:sz="4" w:space="0" w:color="009FE2" w:themeColor="background2"/>
              <w:right w:val="single" w:sz="4" w:space="0" w:color="FFFFFF" w:themeColor="background1"/>
            </w:tcBorders>
            <w:shd w:val="clear" w:color="auto" w:fill="009FE2" w:themeFill="background2"/>
          </w:tcPr>
          <w:p w:rsidR="00F026A8" w:rsidRPr="005F6F5B" w:rsidRDefault="00F026A8" w:rsidP="005F6F5B">
            <w:pPr>
              <w:spacing w:after="0" w:line="240" w:lineRule="auto"/>
              <w:rPr>
                <w:color w:val="FFFFFF" w:themeColor="background1"/>
              </w:rPr>
            </w:pPr>
            <w:r w:rsidRPr="005F6F5B">
              <w:rPr>
                <w:color w:val="FFFFFF" w:themeColor="background1"/>
              </w:rPr>
              <w:t>Treatment duration</w:t>
            </w:r>
          </w:p>
          <w:p w:rsidR="00F026A8" w:rsidRPr="005F6F5B" w:rsidRDefault="00F026A8" w:rsidP="005F6F5B">
            <w:pPr>
              <w:spacing w:after="0" w:line="240" w:lineRule="auto"/>
              <w:rPr>
                <w:color w:val="FFFFFF" w:themeColor="background1"/>
              </w:rPr>
            </w:pPr>
            <w:r w:rsidRPr="005F6F5B">
              <w:rPr>
                <w:color w:val="FFFFFF" w:themeColor="background1"/>
              </w:rPr>
              <w:t>&lt;5 years</w:t>
            </w:r>
          </w:p>
        </w:tc>
        <w:tc>
          <w:tcPr>
            <w:tcW w:w="1862" w:type="dxa"/>
            <w:tcBorders>
              <w:top w:val="single" w:sz="4" w:space="0" w:color="009FE2" w:themeColor="background2"/>
              <w:left w:val="single" w:sz="4" w:space="0" w:color="FFFFFF" w:themeColor="background1"/>
              <w:bottom w:val="single" w:sz="4" w:space="0" w:color="009FE2" w:themeColor="background2"/>
              <w:right w:val="single" w:sz="4" w:space="0" w:color="FFFFFF" w:themeColor="background1"/>
            </w:tcBorders>
            <w:shd w:val="clear" w:color="auto" w:fill="009FE2" w:themeFill="background2"/>
          </w:tcPr>
          <w:p w:rsidR="00F026A8" w:rsidRPr="005F6F5B" w:rsidRDefault="00F026A8" w:rsidP="005F6F5B">
            <w:pPr>
              <w:spacing w:after="0" w:line="240" w:lineRule="auto"/>
              <w:rPr>
                <w:color w:val="FFFFFF" w:themeColor="background1"/>
              </w:rPr>
            </w:pPr>
            <w:r w:rsidRPr="005F6F5B">
              <w:rPr>
                <w:color w:val="FFFFFF" w:themeColor="background1"/>
              </w:rPr>
              <w:t>Treatment duration</w:t>
            </w:r>
          </w:p>
          <w:p w:rsidR="00F026A8" w:rsidRPr="005F6F5B" w:rsidRDefault="00F026A8" w:rsidP="005F6F5B">
            <w:pPr>
              <w:spacing w:after="0" w:line="240" w:lineRule="auto"/>
              <w:rPr>
                <w:color w:val="FFFFFF" w:themeColor="background1"/>
              </w:rPr>
            </w:pPr>
            <w:r w:rsidRPr="005F6F5B">
              <w:rPr>
                <w:color w:val="FFFFFF" w:themeColor="background1"/>
              </w:rPr>
              <w:t>5-10 years</w:t>
            </w:r>
          </w:p>
        </w:tc>
        <w:tc>
          <w:tcPr>
            <w:tcW w:w="1801" w:type="dxa"/>
            <w:tcBorders>
              <w:top w:val="single" w:sz="4" w:space="0" w:color="009FE2" w:themeColor="background2"/>
              <w:left w:val="single" w:sz="4" w:space="0" w:color="FFFFFF" w:themeColor="background1"/>
              <w:bottom w:val="single" w:sz="4" w:space="0" w:color="009FE2" w:themeColor="background2"/>
              <w:right w:val="single" w:sz="4" w:space="0" w:color="009FE2" w:themeColor="background2"/>
            </w:tcBorders>
            <w:shd w:val="clear" w:color="auto" w:fill="009FE2" w:themeFill="background2"/>
          </w:tcPr>
          <w:p w:rsidR="00F026A8" w:rsidRPr="005F6F5B" w:rsidRDefault="00F026A8" w:rsidP="005F6F5B">
            <w:pPr>
              <w:spacing w:after="0"/>
              <w:rPr>
                <w:color w:val="FFFFFF" w:themeColor="background1"/>
              </w:rPr>
            </w:pPr>
            <w:r w:rsidRPr="005F6F5B">
              <w:rPr>
                <w:color w:val="FFFFFF" w:themeColor="background1"/>
              </w:rPr>
              <w:t>&gt;5 years since stopping</w:t>
            </w:r>
          </w:p>
          <w:p w:rsidR="00F026A8" w:rsidRDefault="00F026A8" w:rsidP="005F6F5B">
            <w:pPr>
              <w:spacing w:after="0"/>
            </w:pPr>
            <w:r w:rsidRPr="005F6F5B">
              <w:rPr>
                <w:color w:val="FFFFFF" w:themeColor="background1"/>
              </w:rPr>
              <w:t>treatment</w:t>
            </w:r>
          </w:p>
        </w:tc>
      </w:tr>
      <w:tr w:rsidR="00EE7484" w:rsidTr="00EE7484">
        <w:trPr>
          <w:trHeight w:val="484"/>
        </w:trPr>
        <w:tc>
          <w:tcPr>
            <w:tcW w:w="1440" w:type="dxa"/>
            <w:vMerge w:val="restart"/>
            <w:tcBorders>
              <w:top w:val="single" w:sz="4" w:space="0" w:color="FFFFFF" w:themeColor="background1"/>
              <w:right w:val="single" w:sz="4" w:space="0" w:color="009FE2" w:themeColor="background2"/>
            </w:tcBorders>
            <w:shd w:val="clear" w:color="auto" w:fill="1B4C87" w:themeFill="text2"/>
          </w:tcPr>
          <w:p w:rsidR="00F026A8" w:rsidRPr="005F6F5B" w:rsidRDefault="00F026A8" w:rsidP="005F6F5B">
            <w:pPr>
              <w:spacing w:after="0" w:line="240" w:lineRule="auto"/>
              <w:rPr>
                <w:color w:val="FFFFFF" w:themeColor="background1"/>
              </w:rPr>
            </w:pPr>
          </w:p>
          <w:p w:rsidR="00F026A8" w:rsidRPr="005F6F5B" w:rsidRDefault="00F026A8" w:rsidP="005F6F5B">
            <w:pPr>
              <w:spacing w:after="0" w:line="240" w:lineRule="auto"/>
              <w:rPr>
                <w:color w:val="FFFFFF" w:themeColor="background1"/>
              </w:rPr>
            </w:pPr>
            <w:r w:rsidRPr="005F6F5B">
              <w:rPr>
                <w:color w:val="FFFFFF" w:themeColor="background1"/>
              </w:rPr>
              <w:t>Women on oestrogen alone</w:t>
            </w:r>
          </w:p>
        </w:tc>
        <w:tc>
          <w:tcPr>
            <w:tcW w:w="1843" w:type="dxa"/>
            <w:tcBorders>
              <w:top w:val="single" w:sz="4" w:space="0" w:color="FFFFFF" w:themeColor="background1"/>
              <w:left w:val="single" w:sz="4" w:space="0" w:color="009FE2" w:themeColor="background2"/>
              <w:bottom w:val="single" w:sz="4" w:space="0" w:color="FFFFFF" w:themeColor="background1"/>
              <w:right w:val="single" w:sz="4" w:space="0" w:color="009FE2" w:themeColor="background2"/>
            </w:tcBorders>
            <w:shd w:val="clear" w:color="auto" w:fill="009FE2" w:themeFill="background2"/>
          </w:tcPr>
          <w:p w:rsidR="00F026A8" w:rsidRPr="00EE7484" w:rsidRDefault="00F026A8" w:rsidP="005F6F5B">
            <w:pPr>
              <w:spacing w:after="0" w:line="240" w:lineRule="auto"/>
              <w:rPr>
                <w:color w:val="FFFFFF" w:themeColor="background1"/>
              </w:rPr>
            </w:pPr>
          </w:p>
          <w:p w:rsidR="00F026A8" w:rsidRPr="00EE7484" w:rsidRDefault="00F026A8" w:rsidP="005F6F5B">
            <w:pPr>
              <w:spacing w:after="0" w:line="240" w:lineRule="auto"/>
              <w:rPr>
                <w:color w:val="FFFFFF" w:themeColor="background1"/>
              </w:rPr>
            </w:pPr>
            <w:r w:rsidRPr="00EE7484">
              <w:rPr>
                <w:color w:val="FFFFFF" w:themeColor="background1"/>
              </w:rPr>
              <w:t>RCT estimate²</w:t>
            </w:r>
          </w:p>
        </w:tc>
        <w:tc>
          <w:tcPr>
            <w:tcW w:w="1701" w:type="dxa"/>
            <w:tcBorders>
              <w:top w:val="single" w:sz="4" w:space="0" w:color="009FE2" w:themeColor="background2"/>
              <w:left w:val="single" w:sz="4" w:space="0" w:color="009FE2" w:themeColor="background2"/>
            </w:tcBorders>
          </w:tcPr>
          <w:p w:rsidR="00F026A8" w:rsidRDefault="00F026A8" w:rsidP="005F6F5B">
            <w:pPr>
              <w:spacing w:after="0" w:line="240" w:lineRule="auto"/>
            </w:pPr>
            <w:r>
              <w:t xml:space="preserve">6 fewer </w:t>
            </w:r>
          </w:p>
          <w:p w:rsidR="00F026A8" w:rsidRDefault="00F026A8" w:rsidP="00EE7484">
            <w:pPr>
              <w:pStyle w:val="Table"/>
            </w:pPr>
            <w:r>
              <w:t>(-10 to 1)</w:t>
            </w:r>
          </w:p>
        </w:tc>
        <w:tc>
          <w:tcPr>
            <w:tcW w:w="1823" w:type="dxa"/>
            <w:tcBorders>
              <w:top w:val="single" w:sz="4" w:space="0" w:color="009FE2" w:themeColor="background2"/>
            </w:tcBorders>
          </w:tcPr>
          <w:p w:rsidR="00F026A8" w:rsidRPr="0046446F" w:rsidRDefault="00F026A8" w:rsidP="005F6F5B">
            <w:pPr>
              <w:spacing w:after="0" w:line="240" w:lineRule="auto"/>
              <w:rPr>
                <w:highlight w:val="green"/>
              </w:rPr>
            </w:pPr>
            <w:r w:rsidRPr="0046446F">
              <w:rPr>
                <w:highlight w:val="green"/>
              </w:rPr>
              <w:t xml:space="preserve">No available </w:t>
            </w:r>
          </w:p>
          <w:p w:rsidR="00F026A8" w:rsidRPr="0046446F" w:rsidRDefault="00F026A8" w:rsidP="005F6F5B">
            <w:pPr>
              <w:spacing w:after="0" w:line="240" w:lineRule="auto"/>
              <w:rPr>
                <w:highlight w:val="green"/>
              </w:rPr>
            </w:pPr>
            <w:r w:rsidRPr="0046446F">
              <w:rPr>
                <w:highlight w:val="green"/>
              </w:rPr>
              <w:t>data</w:t>
            </w:r>
          </w:p>
        </w:tc>
        <w:tc>
          <w:tcPr>
            <w:tcW w:w="1862" w:type="dxa"/>
            <w:tcBorders>
              <w:top w:val="single" w:sz="4" w:space="0" w:color="009FE2" w:themeColor="background2"/>
            </w:tcBorders>
          </w:tcPr>
          <w:p w:rsidR="00F026A8" w:rsidRPr="0046446F" w:rsidRDefault="00F026A8" w:rsidP="005F6F5B">
            <w:pPr>
              <w:spacing w:after="0" w:line="240" w:lineRule="auto"/>
              <w:rPr>
                <w:highlight w:val="green"/>
              </w:rPr>
            </w:pPr>
            <w:r w:rsidRPr="0046446F">
              <w:rPr>
                <w:highlight w:val="green"/>
              </w:rPr>
              <w:t xml:space="preserve">No available </w:t>
            </w:r>
          </w:p>
          <w:p w:rsidR="00F026A8" w:rsidRPr="0046446F" w:rsidRDefault="00F026A8" w:rsidP="005F6F5B">
            <w:pPr>
              <w:spacing w:after="0" w:line="240" w:lineRule="auto"/>
              <w:rPr>
                <w:highlight w:val="green"/>
              </w:rPr>
            </w:pPr>
            <w:r w:rsidRPr="0046446F">
              <w:rPr>
                <w:highlight w:val="green"/>
              </w:rPr>
              <w:t>data</w:t>
            </w:r>
          </w:p>
        </w:tc>
        <w:tc>
          <w:tcPr>
            <w:tcW w:w="1801" w:type="dxa"/>
            <w:tcBorders>
              <w:top w:val="single" w:sz="4" w:space="0" w:color="009FE2" w:themeColor="background2"/>
            </w:tcBorders>
          </w:tcPr>
          <w:p w:rsidR="00F026A8" w:rsidRDefault="00F026A8" w:rsidP="005F6F5B">
            <w:pPr>
              <w:spacing w:after="0"/>
            </w:pPr>
            <w:r>
              <w:t xml:space="preserve">6 fewer </w:t>
            </w:r>
          </w:p>
          <w:p w:rsidR="00F026A8" w:rsidRDefault="00F026A8" w:rsidP="005F6F5B">
            <w:pPr>
              <w:spacing w:after="0"/>
            </w:pPr>
            <w:r>
              <w:t>(-9 to -2)</w:t>
            </w:r>
          </w:p>
        </w:tc>
      </w:tr>
      <w:tr w:rsidR="00EE7484" w:rsidTr="00EE7484">
        <w:trPr>
          <w:trHeight w:val="160"/>
        </w:trPr>
        <w:tc>
          <w:tcPr>
            <w:tcW w:w="1440" w:type="dxa"/>
            <w:vMerge/>
            <w:tcBorders>
              <w:top w:val="single" w:sz="4" w:space="0" w:color="FFFFFF" w:themeColor="background1"/>
              <w:bottom w:val="single" w:sz="4" w:space="0" w:color="FFFFFF" w:themeColor="background1"/>
              <w:right w:val="single" w:sz="4" w:space="0" w:color="009FE2" w:themeColor="background2"/>
            </w:tcBorders>
            <w:shd w:val="clear" w:color="auto" w:fill="1B4C87" w:themeFill="text2"/>
          </w:tcPr>
          <w:p w:rsidR="00F026A8" w:rsidRDefault="00F026A8" w:rsidP="005F6F5B">
            <w:pPr>
              <w:spacing w:after="0" w:line="240" w:lineRule="auto"/>
            </w:pPr>
          </w:p>
        </w:tc>
        <w:tc>
          <w:tcPr>
            <w:tcW w:w="1843" w:type="dxa"/>
            <w:tcBorders>
              <w:top w:val="single" w:sz="4" w:space="0" w:color="FFFFFF" w:themeColor="background1"/>
              <w:left w:val="single" w:sz="4" w:space="0" w:color="009FE2" w:themeColor="background2"/>
              <w:bottom w:val="single" w:sz="4" w:space="0" w:color="FFFFFF" w:themeColor="background1"/>
              <w:right w:val="single" w:sz="4" w:space="0" w:color="009FE2" w:themeColor="background2"/>
            </w:tcBorders>
            <w:shd w:val="clear" w:color="auto" w:fill="009FE2" w:themeFill="background2"/>
          </w:tcPr>
          <w:p w:rsidR="00F026A8" w:rsidRPr="00EE7484" w:rsidRDefault="00F026A8" w:rsidP="005F6F5B">
            <w:pPr>
              <w:spacing w:after="0" w:line="240" w:lineRule="auto"/>
              <w:rPr>
                <w:color w:val="FFFFFF" w:themeColor="background1"/>
              </w:rPr>
            </w:pPr>
            <w:r w:rsidRPr="00EE7484">
              <w:rPr>
                <w:color w:val="FFFFFF" w:themeColor="background1"/>
              </w:rPr>
              <w:t xml:space="preserve">Observational </w:t>
            </w:r>
          </w:p>
          <w:p w:rsidR="00F026A8" w:rsidRPr="00EE7484" w:rsidRDefault="00F026A8" w:rsidP="005F6F5B">
            <w:pPr>
              <w:spacing w:after="0" w:line="240" w:lineRule="auto"/>
              <w:rPr>
                <w:color w:val="FFFFFF" w:themeColor="background1"/>
              </w:rPr>
            </w:pPr>
            <w:r w:rsidRPr="00EE7484">
              <w:rPr>
                <w:color w:val="FFFFFF" w:themeColor="background1"/>
              </w:rPr>
              <w:t>Estimate³</w:t>
            </w:r>
          </w:p>
        </w:tc>
        <w:tc>
          <w:tcPr>
            <w:tcW w:w="1701" w:type="dxa"/>
            <w:tcBorders>
              <w:left w:val="single" w:sz="4" w:space="0" w:color="009FE2" w:themeColor="background2"/>
            </w:tcBorders>
          </w:tcPr>
          <w:p w:rsidR="00F026A8" w:rsidRDefault="00F026A8" w:rsidP="005F6F5B">
            <w:pPr>
              <w:spacing w:after="0" w:line="240" w:lineRule="auto"/>
            </w:pPr>
            <w:r>
              <w:t xml:space="preserve">6 fewer </w:t>
            </w:r>
          </w:p>
          <w:p w:rsidR="00F026A8" w:rsidRDefault="00F026A8" w:rsidP="005F6F5B">
            <w:pPr>
              <w:spacing w:after="0" w:line="240" w:lineRule="auto"/>
            </w:pPr>
            <w:r>
              <w:t>(-9 to -3)</w:t>
            </w:r>
          </w:p>
        </w:tc>
        <w:tc>
          <w:tcPr>
            <w:tcW w:w="1823" w:type="dxa"/>
          </w:tcPr>
          <w:p w:rsidR="00F026A8" w:rsidRPr="0046446F" w:rsidRDefault="00F026A8" w:rsidP="005F6F5B">
            <w:pPr>
              <w:spacing w:after="0" w:line="240" w:lineRule="auto"/>
              <w:rPr>
                <w:highlight w:val="green"/>
              </w:rPr>
            </w:pPr>
            <w:r w:rsidRPr="0046446F">
              <w:rPr>
                <w:highlight w:val="green"/>
              </w:rPr>
              <w:t xml:space="preserve">No available </w:t>
            </w:r>
          </w:p>
          <w:p w:rsidR="00F026A8" w:rsidRPr="0046446F" w:rsidRDefault="00F026A8" w:rsidP="005F6F5B">
            <w:pPr>
              <w:spacing w:after="0" w:line="240" w:lineRule="auto"/>
              <w:rPr>
                <w:highlight w:val="green"/>
              </w:rPr>
            </w:pPr>
            <w:r w:rsidRPr="0046446F">
              <w:rPr>
                <w:highlight w:val="green"/>
              </w:rPr>
              <w:t>data</w:t>
            </w:r>
          </w:p>
        </w:tc>
        <w:tc>
          <w:tcPr>
            <w:tcW w:w="1862" w:type="dxa"/>
          </w:tcPr>
          <w:p w:rsidR="00F026A8" w:rsidRPr="0046446F" w:rsidRDefault="00F026A8" w:rsidP="005F6F5B">
            <w:pPr>
              <w:spacing w:after="0" w:line="240" w:lineRule="auto"/>
              <w:rPr>
                <w:highlight w:val="green"/>
              </w:rPr>
            </w:pPr>
            <w:r w:rsidRPr="0046446F">
              <w:rPr>
                <w:highlight w:val="green"/>
              </w:rPr>
              <w:t xml:space="preserve">No available </w:t>
            </w:r>
          </w:p>
          <w:p w:rsidR="00F026A8" w:rsidRPr="0046446F" w:rsidRDefault="00F026A8" w:rsidP="005F6F5B">
            <w:pPr>
              <w:spacing w:after="0" w:line="240" w:lineRule="auto"/>
              <w:rPr>
                <w:highlight w:val="green"/>
              </w:rPr>
            </w:pPr>
            <w:r w:rsidRPr="0046446F">
              <w:rPr>
                <w:highlight w:val="green"/>
              </w:rPr>
              <w:t>data</w:t>
            </w:r>
          </w:p>
        </w:tc>
        <w:tc>
          <w:tcPr>
            <w:tcW w:w="1801" w:type="dxa"/>
          </w:tcPr>
          <w:p w:rsidR="00F026A8" w:rsidRDefault="00F026A8" w:rsidP="005F6F5B">
            <w:pPr>
              <w:spacing w:after="0"/>
            </w:pPr>
            <w:r>
              <w:t xml:space="preserve">No available </w:t>
            </w:r>
          </w:p>
          <w:p w:rsidR="00F026A8" w:rsidRDefault="00F026A8" w:rsidP="005F6F5B">
            <w:pPr>
              <w:spacing w:after="0"/>
            </w:pPr>
            <w:r>
              <w:t>data</w:t>
            </w:r>
          </w:p>
        </w:tc>
      </w:tr>
      <w:tr w:rsidR="00EE7484" w:rsidTr="00EE7484">
        <w:trPr>
          <w:trHeight w:val="564"/>
        </w:trPr>
        <w:tc>
          <w:tcPr>
            <w:tcW w:w="1440" w:type="dxa"/>
            <w:vMerge w:val="restart"/>
            <w:tcBorders>
              <w:top w:val="single" w:sz="4" w:space="0" w:color="FFFFFF" w:themeColor="background1"/>
              <w:right w:val="single" w:sz="4" w:space="0" w:color="009FE2" w:themeColor="background2"/>
            </w:tcBorders>
            <w:shd w:val="clear" w:color="auto" w:fill="1B4C87" w:themeFill="text2"/>
          </w:tcPr>
          <w:p w:rsidR="00F026A8" w:rsidRDefault="00F026A8" w:rsidP="005F6F5B">
            <w:pPr>
              <w:spacing w:after="0" w:line="240" w:lineRule="auto"/>
            </w:pPr>
          </w:p>
          <w:p w:rsidR="00F026A8" w:rsidRDefault="00F026A8" w:rsidP="005F6F5B">
            <w:pPr>
              <w:spacing w:after="0" w:line="240" w:lineRule="auto"/>
            </w:pPr>
            <w:r w:rsidRPr="005F6F5B">
              <w:rPr>
                <w:color w:val="FFFFFF" w:themeColor="background1"/>
              </w:rPr>
              <w:t>Women on oestrogen &amp; progestogen</w:t>
            </w:r>
          </w:p>
        </w:tc>
        <w:tc>
          <w:tcPr>
            <w:tcW w:w="1843" w:type="dxa"/>
            <w:tcBorders>
              <w:top w:val="single" w:sz="4" w:space="0" w:color="FFFFFF" w:themeColor="background1"/>
              <w:left w:val="single" w:sz="4" w:space="0" w:color="009FE2" w:themeColor="background2"/>
              <w:bottom w:val="single" w:sz="4" w:space="0" w:color="FFFFFF" w:themeColor="background1"/>
              <w:right w:val="single" w:sz="4" w:space="0" w:color="009FE2" w:themeColor="background2"/>
            </w:tcBorders>
            <w:shd w:val="clear" w:color="auto" w:fill="009FE2" w:themeFill="background2"/>
          </w:tcPr>
          <w:p w:rsidR="00F026A8" w:rsidRPr="00EE7484" w:rsidRDefault="00F026A8" w:rsidP="005F6F5B">
            <w:pPr>
              <w:spacing w:after="0" w:line="240" w:lineRule="auto"/>
              <w:rPr>
                <w:color w:val="FFFFFF" w:themeColor="background1"/>
              </w:rPr>
            </w:pPr>
          </w:p>
          <w:p w:rsidR="00F026A8" w:rsidRPr="00EE7484" w:rsidRDefault="00F026A8" w:rsidP="005F6F5B">
            <w:pPr>
              <w:spacing w:after="0" w:line="240" w:lineRule="auto"/>
              <w:rPr>
                <w:color w:val="FFFFFF" w:themeColor="background1"/>
              </w:rPr>
            </w:pPr>
            <w:r w:rsidRPr="00EE7484">
              <w:rPr>
                <w:color w:val="FFFFFF" w:themeColor="background1"/>
              </w:rPr>
              <w:t>RCT estimate²</w:t>
            </w:r>
          </w:p>
        </w:tc>
        <w:tc>
          <w:tcPr>
            <w:tcW w:w="1701" w:type="dxa"/>
            <w:tcBorders>
              <w:left w:val="single" w:sz="4" w:space="0" w:color="009FE2" w:themeColor="background2"/>
            </w:tcBorders>
          </w:tcPr>
          <w:p w:rsidR="00F026A8" w:rsidRDefault="00F026A8" w:rsidP="005F6F5B">
            <w:pPr>
              <w:spacing w:after="0" w:line="240" w:lineRule="auto"/>
            </w:pPr>
            <w:r>
              <w:t>5 more</w:t>
            </w:r>
          </w:p>
          <w:p w:rsidR="00F026A8" w:rsidRDefault="00F026A8" w:rsidP="005F6F5B">
            <w:pPr>
              <w:spacing w:after="0" w:line="240" w:lineRule="auto"/>
            </w:pPr>
            <w:r>
              <w:t>(-3 to 18)</w:t>
            </w:r>
          </w:p>
        </w:tc>
        <w:tc>
          <w:tcPr>
            <w:tcW w:w="1823" w:type="dxa"/>
          </w:tcPr>
          <w:p w:rsidR="00F026A8" w:rsidRPr="0046446F" w:rsidRDefault="00F026A8" w:rsidP="005F6F5B">
            <w:pPr>
              <w:spacing w:after="0" w:line="240" w:lineRule="auto"/>
              <w:rPr>
                <w:highlight w:val="green"/>
              </w:rPr>
            </w:pPr>
            <w:r w:rsidRPr="0046446F">
              <w:rPr>
                <w:highlight w:val="green"/>
              </w:rPr>
              <w:t xml:space="preserve">No available </w:t>
            </w:r>
          </w:p>
          <w:p w:rsidR="00F026A8" w:rsidRPr="0046446F" w:rsidRDefault="00F026A8" w:rsidP="005F6F5B">
            <w:pPr>
              <w:spacing w:after="0" w:line="240" w:lineRule="auto"/>
              <w:rPr>
                <w:highlight w:val="green"/>
              </w:rPr>
            </w:pPr>
            <w:r w:rsidRPr="0046446F">
              <w:rPr>
                <w:highlight w:val="green"/>
              </w:rPr>
              <w:t>data</w:t>
            </w:r>
          </w:p>
        </w:tc>
        <w:tc>
          <w:tcPr>
            <w:tcW w:w="1862" w:type="dxa"/>
          </w:tcPr>
          <w:p w:rsidR="00F026A8" w:rsidRPr="0046446F" w:rsidRDefault="00F026A8" w:rsidP="005F6F5B">
            <w:pPr>
              <w:spacing w:after="0" w:line="240" w:lineRule="auto"/>
              <w:rPr>
                <w:highlight w:val="green"/>
              </w:rPr>
            </w:pPr>
            <w:r w:rsidRPr="0046446F">
              <w:rPr>
                <w:highlight w:val="green"/>
              </w:rPr>
              <w:t xml:space="preserve">No available </w:t>
            </w:r>
          </w:p>
          <w:p w:rsidR="00F026A8" w:rsidRPr="0046446F" w:rsidRDefault="00F026A8" w:rsidP="005F6F5B">
            <w:pPr>
              <w:spacing w:after="0" w:line="240" w:lineRule="auto"/>
              <w:rPr>
                <w:highlight w:val="green"/>
              </w:rPr>
            </w:pPr>
            <w:r w:rsidRPr="0046446F">
              <w:rPr>
                <w:highlight w:val="green"/>
              </w:rPr>
              <w:t>data</w:t>
            </w:r>
          </w:p>
        </w:tc>
        <w:tc>
          <w:tcPr>
            <w:tcW w:w="1801" w:type="dxa"/>
          </w:tcPr>
          <w:p w:rsidR="00F026A8" w:rsidRDefault="00F026A8" w:rsidP="005F6F5B">
            <w:pPr>
              <w:spacing w:after="0"/>
            </w:pPr>
            <w:r>
              <w:t>4 more</w:t>
            </w:r>
          </w:p>
          <w:p w:rsidR="00F026A8" w:rsidRDefault="00F026A8" w:rsidP="005F6F5B">
            <w:pPr>
              <w:spacing w:after="0"/>
            </w:pPr>
            <w:r>
              <w:t>(-1 to 11)</w:t>
            </w:r>
          </w:p>
        </w:tc>
      </w:tr>
      <w:tr w:rsidR="00EE7484" w:rsidTr="00EE7484">
        <w:trPr>
          <w:trHeight w:val="665"/>
        </w:trPr>
        <w:tc>
          <w:tcPr>
            <w:tcW w:w="1440" w:type="dxa"/>
            <w:vMerge/>
            <w:tcBorders>
              <w:top w:val="single" w:sz="4" w:space="0" w:color="1B4C87" w:themeColor="text2"/>
              <w:bottom w:val="nil"/>
              <w:right w:val="single" w:sz="4" w:space="0" w:color="009FE2" w:themeColor="background2"/>
            </w:tcBorders>
            <w:shd w:val="clear" w:color="auto" w:fill="1B4C87" w:themeFill="text2"/>
          </w:tcPr>
          <w:p w:rsidR="00F026A8" w:rsidRDefault="00F026A8" w:rsidP="005F6F5B">
            <w:pPr>
              <w:spacing w:after="0" w:line="240" w:lineRule="auto"/>
            </w:pPr>
          </w:p>
        </w:tc>
        <w:tc>
          <w:tcPr>
            <w:tcW w:w="1843" w:type="dxa"/>
            <w:tcBorders>
              <w:top w:val="single" w:sz="4" w:space="0" w:color="FFFFFF" w:themeColor="background1"/>
              <w:left w:val="single" w:sz="4" w:space="0" w:color="009FE2" w:themeColor="background2"/>
              <w:bottom w:val="nil"/>
              <w:right w:val="single" w:sz="4" w:space="0" w:color="009FE2" w:themeColor="background2"/>
            </w:tcBorders>
            <w:shd w:val="clear" w:color="auto" w:fill="009FE2" w:themeFill="background2"/>
          </w:tcPr>
          <w:p w:rsidR="00F026A8" w:rsidRPr="00EE7484" w:rsidRDefault="00F026A8" w:rsidP="005F6F5B">
            <w:pPr>
              <w:spacing w:after="0" w:line="240" w:lineRule="auto"/>
              <w:rPr>
                <w:color w:val="FFFFFF" w:themeColor="background1"/>
              </w:rPr>
            </w:pPr>
            <w:r w:rsidRPr="00EE7484">
              <w:rPr>
                <w:color w:val="FFFFFF" w:themeColor="background1"/>
              </w:rPr>
              <w:t xml:space="preserve">Observational </w:t>
            </w:r>
          </w:p>
          <w:p w:rsidR="00F026A8" w:rsidRPr="00EE7484" w:rsidRDefault="00F026A8" w:rsidP="005F6F5B">
            <w:pPr>
              <w:spacing w:after="0" w:line="240" w:lineRule="auto"/>
              <w:rPr>
                <w:color w:val="FFFFFF" w:themeColor="background1"/>
              </w:rPr>
            </w:pPr>
            <w:r w:rsidRPr="00EE7484">
              <w:rPr>
                <w:color w:val="FFFFFF" w:themeColor="background1"/>
              </w:rPr>
              <w:t>Estimate³</w:t>
            </w:r>
          </w:p>
        </w:tc>
        <w:tc>
          <w:tcPr>
            <w:tcW w:w="1701" w:type="dxa"/>
            <w:tcBorders>
              <w:left w:val="single" w:sz="4" w:space="0" w:color="009FE2" w:themeColor="background2"/>
              <w:bottom w:val="nil"/>
            </w:tcBorders>
          </w:tcPr>
          <w:p w:rsidR="00F026A8" w:rsidRDefault="00F026A8" w:rsidP="005F6F5B">
            <w:pPr>
              <w:spacing w:after="0" w:line="240" w:lineRule="auto"/>
            </w:pPr>
            <w:r>
              <w:t xml:space="preserve">No available </w:t>
            </w:r>
          </w:p>
          <w:p w:rsidR="00F026A8" w:rsidRDefault="00F026A8" w:rsidP="005F6F5B">
            <w:pPr>
              <w:spacing w:after="0" w:line="240" w:lineRule="auto"/>
            </w:pPr>
            <w:r>
              <w:t>data</w:t>
            </w:r>
          </w:p>
        </w:tc>
        <w:tc>
          <w:tcPr>
            <w:tcW w:w="1823" w:type="dxa"/>
            <w:tcBorders>
              <w:bottom w:val="nil"/>
            </w:tcBorders>
          </w:tcPr>
          <w:p w:rsidR="00F026A8" w:rsidRPr="0046446F" w:rsidRDefault="00F026A8" w:rsidP="005F6F5B">
            <w:pPr>
              <w:spacing w:after="0" w:line="240" w:lineRule="auto"/>
              <w:rPr>
                <w:highlight w:val="green"/>
              </w:rPr>
            </w:pPr>
            <w:r w:rsidRPr="0046446F">
              <w:rPr>
                <w:highlight w:val="green"/>
              </w:rPr>
              <w:t xml:space="preserve">No available </w:t>
            </w:r>
          </w:p>
          <w:p w:rsidR="00F026A8" w:rsidRPr="0046446F" w:rsidRDefault="00F026A8" w:rsidP="005F6F5B">
            <w:pPr>
              <w:spacing w:after="0" w:line="240" w:lineRule="auto"/>
              <w:rPr>
                <w:highlight w:val="green"/>
              </w:rPr>
            </w:pPr>
            <w:r w:rsidRPr="0046446F">
              <w:rPr>
                <w:highlight w:val="green"/>
              </w:rPr>
              <w:t>data</w:t>
            </w:r>
          </w:p>
        </w:tc>
        <w:tc>
          <w:tcPr>
            <w:tcW w:w="1862" w:type="dxa"/>
            <w:tcBorders>
              <w:bottom w:val="nil"/>
            </w:tcBorders>
          </w:tcPr>
          <w:p w:rsidR="00F026A8" w:rsidRPr="0046446F" w:rsidRDefault="00F026A8" w:rsidP="005F6F5B">
            <w:pPr>
              <w:spacing w:after="0" w:line="240" w:lineRule="auto"/>
              <w:rPr>
                <w:highlight w:val="green"/>
              </w:rPr>
            </w:pPr>
            <w:r w:rsidRPr="0046446F">
              <w:rPr>
                <w:highlight w:val="green"/>
              </w:rPr>
              <w:t xml:space="preserve">No available </w:t>
            </w:r>
          </w:p>
          <w:p w:rsidR="00F026A8" w:rsidRPr="0046446F" w:rsidRDefault="00F026A8" w:rsidP="005F6F5B">
            <w:pPr>
              <w:spacing w:after="0" w:line="240" w:lineRule="auto"/>
              <w:rPr>
                <w:highlight w:val="green"/>
              </w:rPr>
            </w:pPr>
            <w:r w:rsidRPr="0046446F">
              <w:rPr>
                <w:highlight w:val="green"/>
              </w:rPr>
              <w:t>data</w:t>
            </w:r>
          </w:p>
        </w:tc>
        <w:tc>
          <w:tcPr>
            <w:tcW w:w="1801" w:type="dxa"/>
            <w:tcBorders>
              <w:bottom w:val="nil"/>
            </w:tcBorders>
          </w:tcPr>
          <w:p w:rsidR="00F026A8" w:rsidRDefault="00F026A8" w:rsidP="005F6F5B">
            <w:pPr>
              <w:spacing w:after="0"/>
            </w:pPr>
            <w:r>
              <w:t xml:space="preserve">No available </w:t>
            </w:r>
          </w:p>
          <w:p w:rsidR="00F026A8" w:rsidRDefault="00F026A8" w:rsidP="005F6F5B">
            <w:pPr>
              <w:spacing w:after="0"/>
            </w:pPr>
            <w:r>
              <w:t>data</w:t>
            </w:r>
          </w:p>
        </w:tc>
      </w:tr>
      <w:tr w:rsidR="00F026A8" w:rsidTr="00EE7484">
        <w:trPr>
          <w:trHeight w:val="1395"/>
        </w:trPr>
        <w:tc>
          <w:tcPr>
            <w:tcW w:w="10470" w:type="dxa"/>
            <w:gridSpan w:val="6"/>
            <w:tcBorders>
              <w:top w:val="nil"/>
            </w:tcBorders>
            <w:shd w:val="clear" w:color="auto" w:fill="C6EEFF" w:themeFill="background2" w:themeFillTint="33"/>
          </w:tcPr>
          <w:p w:rsidR="00F026A8" w:rsidRDefault="00F026A8" w:rsidP="005F6F5B">
            <w:pPr>
              <w:spacing w:after="0" w:line="240" w:lineRule="auto"/>
            </w:pPr>
            <w:r>
              <w:t>HRT (Hormone Replacement Therapy; RCT (Randomised Controlled Trial)</w:t>
            </w:r>
          </w:p>
          <w:p w:rsidR="00F026A8" w:rsidRDefault="00F026A8" w:rsidP="005F6F5B">
            <w:pPr>
              <w:spacing w:after="0" w:line="240" w:lineRule="auto"/>
              <w:rPr>
                <w:u w:val="single"/>
              </w:rPr>
            </w:pPr>
            <w:r>
              <w:t xml:space="preserve">For full source references, see Appendix M in the </w:t>
            </w:r>
            <w:r w:rsidRPr="00462AC9">
              <w:rPr>
                <w:u w:val="single"/>
              </w:rPr>
              <w:t>full guideline</w:t>
            </w:r>
          </w:p>
          <w:p w:rsidR="00F026A8" w:rsidRDefault="00F026A8" w:rsidP="005F6F5B">
            <w:pPr>
              <w:spacing w:after="0" w:line="240" w:lineRule="auto"/>
            </w:pPr>
            <w:r>
              <w:t>¹ Results from Weiner 2008 were used for the baseline population risk estimation</w:t>
            </w:r>
          </w:p>
          <w:p w:rsidR="00F026A8" w:rsidRDefault="00F026A8" w:rsidP="005F6F5B">
            <w:pPr>
              <w:spacing w:after="0" w:line="240" w:lineRule="auto"/>
            </w:pPr>
            <w:r>
              <w:t>² For women aged 50-59 years at entry to the RCT.</w:t>
            </w:r>
          </w:p>
          <w:p w:rsidR="00F026A8" w:rsidRPr="00462AC9" w:rsidRDefault="00F026A8" w:rsidP="005F6F5B">
            <w:pPr>
              <w:spacing w:after="0" w:line="240" w:lineRule="auto"/>
            </w:pPr>
            <w:r>
              <w:t>³ Observational estimates are based on cohort studies with several thousand women</w:t>
            </w:r>
          </w:p>
        </w:tc>
      </w:tr>
    </w:tbl>
    <w:p w:rsidR="00F026A8" w:rsidRDefault="00F026A8" w:rsidP="00F026A8">
      <w:pPr>
        <w:spacing w:after="0" w:line="240" w:lineRule="auto"/>
        <w:jc w:val="both"/>
        <w:rPr>
          <w:rFonts w:ascii="Arial" w:hAnsi="Arial" w:cs="Arial"/>
        </w:rPr>
      </w:pPr>
    </w:p>
    <w:p w:rsidR="00EE7484" w:rsidRDefault="00EE7484" w:rsidP="00EE7484">
      <w:pPr>
        <w:rPr>
          <w:b/>
          <w:bCs/>
        </w:rPr>
      </w:pPr>
      <w:r>
        <w:rPr>
          <w:b/>
          <w:bCs/>
        </w:rPr>
        <w:br w:type="page"/>
      </w:r>
    </w:p>
    <w:p w:rsidR="00F026A8" w:rsidRPr="001C5DC3" w:rsidRDefault="00F026A8" w:rsidP="00EE7484">
      <w:r w:rsidRPr="00EE7484">
        <w:rPr>
          <w:b/>
          <w:bCs/>
        </w:rPr>
        <w:lastRenderedPageBreak/>
        <w:t>Table 2</w:t>
      </w:r>
      <w:r w:rsidR="00EE7484" w:rsidRPr="00EE7484">
        <w:rPr>
          <w:b/>
          <w:bCs/>
        </w:rPr>
        <w:t>:</w:t>
      </w:r>
      <w:r w:rsidRPr="001C5DC3">
        <w:t xml:space="preserve"> Absolute rates of stroke for different types of HRT compared with no HRT </w:t>
      </w:r>
      <w:r w:rsidR="00EE7484">
        <w:br/>
      </w:r>
      <w:r w:rsidRPr="001C5DC3">
        <w:t xml:space="preserve">(or placebo), different durations of HRT use and time since stopping HRT for </w:t>
      </w:r>
      <w:r w:rsidR="00EE7484">
        <w:br/>
      </w:r>
      <w:r w:rsidRPr="001C5DC3">
        <w:t>menopausal women</w:t>
      </w:r>
      <w:r w:rsidR="00EE7484">
        <w:t>.</w:t>
      </w:r>
    </w:p>
    <w:p w:rsidR="00F026A8" w:rsidRDefault="00F026A8" w:rsidP="00F026A8">
      <w:pPr>
        <w:spacing w:after="0" w:line="240" w:lineRule="auto"/>
        <w:jc w:val="both"/>
        <w:rPr>
          <w:rFonts w:ascii="Arial" w:hAnsi="Arial" w:cs="Arial"/>
        </w:rPr>
      </w:pPr>
    </w:p>
    <w:tbl>
      <w:tblPr>
        <w:tblW w:w="0" w:type="auto"/>
        <w:tblInd w:w="197" w:type="dxa"/>
        <w:tblBorders>
          <w:top w:val="single" w:sz="4" w:space="0" w:color="1B4C87" w:themeColor="text2"/>
          <w:left w:val="single" w:sz="4" w:space="0" w:color="1B4C87" w:themeColor="text2"/>
          <w:bottom w:val="single" w:sz="4" w:space="0" w:color="1B4C87" w:themeColor="text2"/>
          <w:right w:val="single" w:sz="4" w:space="0" w:color="1B4C87" w:themeColor="text2"/>
          <w:insideH w:val="single" w:sz="4" w:space="0" w:color="1B4C87" w:themeColor="text2"/>
          <w:insideV w:val="single" w:sz="4" w:space="0" w:color="1B4C87" w:themeColor="text2"/>
        </w:tblBorders>
        <w:tblCellMar>
          <w:top w:w="85" w:type="dxa"/>
          <w:bottom w:w="85" w:type="dxa"/>
        </w:tblCellMar>
        <w:tblLook w:val="0000"/>
      </w:tblPr>
      <w:tblGrid>
        <w:gridCol w:w="1445"/>
        <w:gridCol w:w="1711"/>
        <w:gridCol w:w="1333"/>
        <w:gridCol w:w="1537"/>
        <w:gridCol w:w="1556"/>
        <w:gridCol w:w="1507"/>
      </w:tblGrid>
      <w:tr w:rsidR="00F026A8" w:rsidTr="00EE7484">
        <w:trPr>
          <w:trHeight w:val="1015"/>
        </w:trPr>
        <w:tc>
          <w:tcPr>
            <w:tcW w:w="3283" w:type="dxa"/>
            <w:gridSpan w:val="2"/>
            <w:vMerge w:val="restart"/>
            <w:tcBorders>
              <w:top w:val="single" w:sz="4" w:space="0" w:color="FFFFFF" w:themeColor="background1"/>
              <w:left w:val="single" w:sz="4" w:space="0" w:color="FFFFFF" w:themeColor="background1"/>
              <w:bottom w:val="single" w:sz="4" w:space="0" w:color="FFFFFF" w:themeColor="background1"/>
            </w:tcBorders>
          </w:tcPr>
          <w:p w:rsidR="00F026A8" w:rsidRDefault="00F026A8" w:rsidP="00EE7484">
            <w:pPr>
              <w:pStyle w:val="Table"/>
            </w:pPr>
          </w:p>
        </w:tc>
        <w:tc>
          <w:tcPr>
            <w:tcW w:w="7187" w:type="dxa"/>
            <w:gridSpan w:val="4"/>
            <w:tcBorders>
              <w:bottom w:val="single" w:sz="4" w:space="0" w:color="009FE2" w:themeColor="background2"/>
            </w:tcBorders>
            <w:shd w:val="clear" w:color="auto" w:fill="1B4C87" w:themeFill="text2"/>
          </w:tcPr>
          <w:p w:rsidR="00F026A8" w:rsidRPr="00EE7484" w:rsidRDefault="00F026A8" w:rsidP="00EE7484">
            <w:pPr>
              <w:pStyle w:val="Table"/>
              <w:rPr>
                <w:rFonts w:ascii="Calibri" w:hAnsi="Calibri" w:cs="Calibri"/>
                <w:color w:val="FFFFFF" w:themeColor="background1"/>
              </w:rPr>
            </w:pPr>
            <w:r w:rsidRPr="00EE7484">
              <w:rPr>
                <w:color w:val="FFFFFF" w:themeColor="background1"/>
              </w:rPr>
              <w:t>Difference in Stroke incidence per 1000 menopausal women over 7.5 years (95% confidence interval) (baseline population risk in the UK over 7.5 years: 26.3 per 1000</w:t>
            </w:r>
            <w:r w:rsidRPr="00EE7484">
              <w:rPr>
                <w:rFonts w:ascii="Calibri" w:hAnsi="Calibri" w:cs="Calibri"/>
                <w:color w:val="FFFFFF" w:themeColor="background1"/>
              </w:rPr>
              <w:t>₁</w:t>
            </w:r>
          </w:p>
        </w:tc>
      </w:tr>
      <w:tr w:rsidR="00EE7484" w:rsidTr="00EE7484">
        <w:trPr>
          <w:trHeight w:val="834"/>
        </w:trPr>
        <w:tc>
          <w:tcPr>
            <w:tcW w:w="3283" w:type="dxa"/>
            <w:gridSpan w:val="2"/>
            <w:vMerge/>
            <w:tcBorders>
              <w:left w:val="single" w:sz="4" w:space="0" w:color="FFFFFF" w:themeColor="background1"/>
              <w:bottom w:val="single" w:sz="4" w:space="0" w:color="FFFFFF" w:themeColor="background1"/>
              <w:right w:val="single" w:sz="4" w:space="0" w:color="009FE2" w:themeColor="background2"/>
            </w:tcBorders>
          </w:tcPr>
          <w:p w:rsidR="00F026A8" w:rsidRDefault="00F026A8" w:rsidP="00EE7484">
            <w:pPr>
              <w:pStyle w:val="Table"/>
            </w:pPr>
          </w:p>
        </w:tc>
        <w:tc>
          <w:tcPr>
            <w:tcW w:w="1701" w:type="dxa"/>
            <w:tcBorders>
              <w:top w:val="single" w:sz="4" w:space="0" w:color="009FE2" w:themeColor="background2"/>
              <w:left w:val="single" w:sz="4" w:space="0" w:color="009FE2" w:themeColor="background2"/>
              <w:bottom w:val="single" w:sz="4" w:space="0" w:color="009FE2" w:themeColor="background2"/>
              <w:right w:val="single" w:sz="4" w:space="0" w:color="FFFFFF" w:themeColor="background1"/>
            </w:tcBorders>
            <w:shd w:val="clear" w:color="auto" w:fill="009FE2" w:themeFill="background2"/>
          </w:tcPr>
          <w:p w:rsidR="00F026A8" w:rsidRPr="00EE7484" w:rsidRDefault="00F026A8" w:rsidP="00EE7484">
            <w:pPr>
              <w:pStyle w:val="Table"/>
              <w:rPr>
                <w:color w:val="FFFFFF" w:themeColor="background1"/>
              </w:rPr>
            </w:pPr>
            <w:r w:rsidRPr="00EE7484">
              <w:rPr>
                <w:color w:val="FFFFFF" w:themeColor="background1"/>
              </w:rPr>
              <w:t>Current HRT</w:t>
            </w:r>
          </w:p>
          <w:p w:rsidR="00F026A8" w:rsidRPr="00EE7484" w:rsidRDefault="00F026A8" w:rsidP="00EE7484">
            <w:pPr>
              <w:pStyle w:val="Table"/>
              <w:rPr>
                <w:color w:val="FFFFFF" w:themeColor="background1"/>
              </w:rPr>
            </w:pPr>
            <w:r w:rsidRPr="00EE7484">
              <w:rPr>
                <w:color w:val="FFFFFF" w:themeColor="background1"/>
              </w:rPr>
              <w:t>users</w:t>
            </w:r>
          </w:p>
        </w:tc>
        <w:tc>
          <w:tcPr>
            <w:tcW w:w="1823" w:type="dxa"/>
            <w:tcBorders>
              <w:top w:val="single" w:sz="4" w:space="0" w:color="009FE2" w:themeColor="background2"/>
              <w:left w:val="single" w:sz="4" w:space="0" w:color="FFFFFF" w:themeColor="background1"/>
              <w:bottom w:val="single" w:sz="4" w:space="0" w:color="009FE2" w:themeColor="background2"/>
              <w:right w:val="single" w:sz="4" w:space="0" w:color="FFFFFF" w:themeColor="background1"/>
            </w:tcBorders>
            <w:shd w:val="clear" w:color="auto" w:fill="009FE2" w:themeFill="background2"/>
          </w:tcPr>
          <w:p w:rsidR="00F026A8" w:rsidRPr="00EE7484" w:rsidRDefault="00F026A8" w:rsidP="00EE7484">
            <w:pPr>
              <w:pStyle w:val="Table"/>
              <w:rPr>
                <w:color w:val="FFFFFF" w:themeColor="background1"/>
              </w:rPr>
            </w:pPr>
            <w:r w:rsidRPr="00EE7484">
              <w:rPr>
                <w:color w:val="FFFFFF" w:themeColor="background1"/>
              </w:rPr>
              <w:t>Treatment duration</w:t>
            </w:r>
          </w:p>
          <w:p w:rsidR="00F026A8" w:rsidRPr="00EE7484" w:rsidRDefault="00F026A8" w:rsidP="00EE7484">
            <w:pPr>
              <w:pStyle w:val="Table"/>
              <w:rPr>
                <w:color w:val="FFFFFF" w:themeColor="background1"/>
              </w:rPr>
            </w:pPr>
            <w:r w:rsidRPr="00EE7484">
              <w:rPr>
                <w:color w:val="FFFFFF" w:themeColor="background1"/>
              </w:rPr>
              <w:t>&lt;5 years</w:t>
            </w:r>
          </w:p>
        </w:tc>
        <w:tc>
          <w:tcPr>
            <w:tcW w:w="1862" w:type="dxa"/>
            <w:tcBorders>
              <w:top w:val="single" w:sz="4" w:space="0" w:color="009FE2" w:themeColor="background2"/>
              <w:left w:val="single" w:sz="4" w:space="0" w:color="FFFFFF" w:themeColor="background1"/>
              <w:bottom w:val="single" w:sz="4" w:space="0" w:color="009FE2" w:themeColor="background2"/>
              <w:right w:val="single" w:sz="4" w:space="0" w:color="FFFFFF" w:themeColor="background1"/>
            </w:tcBorders>
            <w:shd w:val="clear" w:color="auto" w:fill="009FE2" w:themeFill="background2"/>
          </w:tcPr>
          <w:p w:rsidR="00F026A8" w:rsidRPr="00EE7484" w:rsidRDefault="00F026A8" w:rsidP="00EE7484">
            <w:pPr>
              <w:pStyle w:val="Table"/>
              <w:rPr>
                <w:color w:val="FFFFFF" w:themeColor="background1"/>
              </w:rPr>
            </w:pPr>
            <w:r w:rsidRPr="00EE7484">
              <w:rPr>
                <w:color w:val="FFFFFF" w:themeColor="background1"/>
              </w:rPr>
              <w:t>Treatment duration</w:t>
            </w:r>
          </w:p>
          <w:p w:rsidR="00F026A8" w:rsidRPr="00EE7484" w:rsidRDefault="00F026A8" w:rsidP="00EE7484">
            <w:pPr>
              <w:pStyle w:val="Table"/>
              <w:rPr>
                <w:color w:val="FFFFFF" w:themeColor="background1"/>
              </w:rPr>
            </w:pPr>
            <w:r w:rsidRPr="00EE7484">
              <w:rPr>
                <w:color w:val="FFFFFF" w:themeColor="background1"/>
              </w:rPr>
              <w:t>5-10 years</w:t>
            </w:r>
          </w:p>
        </w:tc>
        <w:tc>
          <w:tcPr>
            <w:tcW w:w="1801" w:type="dxa"/>
            <w:tcBorders>
              <w:top w:val="single" w:sz="4" w:space="0" w:color="009FE2" w:themeColor="background2"/>
              <w:left w:val="single" w:sz="4" w:space="0" w:color="FFFFFF" w:themeColor="background1"/>
              <w:bottom w:val="single" w:sz="4" w:space="0" w:color="009FE2" w:themeColor="background2"/>
              <w:right w:val="single" w:sz="4" w:space="0" w:color="009FE2" w:themeColor="background2"/>
            </w:tcBorders>
            <w:shd w:val="clear" w:color="auto" w:fill="009FE2" w:themeFill="background2"/>
          </w:tcPr>
          <w:p w:rsidR="00F026A8" w:rsidRPr="00EE7484" w:rsidRDefault="00F026A8" w:rsidP="00EE7484">
            <w:pPr>
              <w:pStyle w:val="Table"/>
              <w:rPr>
                <w:color w:val="FFFFFF" w:themeColor="background1"/>
              </w:rPr>
            </w:pPr>
            <w:r w:rsidRPr="00EE7484">
              <w:rPr>
                <w:color w:val="FFFFFF" w:themeColor="background1"/>
              </w:rPr>
              <w:t>&gt;5 years since stopping</w:t>
            </w:r>
          </w:p>
          <w:p w:rsidR="00F026A8" w:rsidRPr="00EE7484" w:rsidRDefault="00F026A8" w:rsidP="00EE7484">
            <w:pPr>
              <w:pStyle w:val="Table"/>
              <w:rPr>
                <w:color w:val="FFFFFF" w:themeColor="background1"/>
              </w:rPr>
            </w:pPr>
            <w:r w:rsidRPr="00EE7484">
              <w:rPr>
                <w:color w:val="FFFFFF" w:themeColor="background1"/>
              </w:rPr>
              <w:t>treatment</w:t>
            </w:r>
          </w:p>
        </w:tc>
      </w:tr>
      <w:tr w:rsidR="00EE7484" w:rsidTr="00EE7484">
        <w:trPr>
          <w:trHeight w:val="573"/>
        </w:trPr>
        <w:tc>
          <w:tcPr>
            <w:tcW w:w="1440" w:type="dxa"/>
            <w:vMerge w:val="restart"/>
            <w:tcBorders>
              <w:top w:val="single" w:sz="4" w:space="0" w:color="FFFFFF" w:themeColor="background1"/>
              <w:bottom w:val="single" w:sz="4" w:space="0" w:color="FFFFFF" w:themeColor="background1"/>
            </w:tcBorders>
            <w:shd w:val="clear" w:color="auto" w:fill="1B4C87" w:themeFill="text2"/>
          </w:tcPr>
          <w:p w:rsidR="00F026A8" w:rsidRPr="00EE7484" w:rsidRDefault="00F026A8" w:rsidP="00EE7484">
            <w:pPr>
              <w:pStyle w:val="Table"/>
              <w:rPr>
                <w:color w:val="FFFFFF" w:themeColor="background1"/>
              </w:rPr>
            </w:pPr>
          </w:p>
          <w:p w:rsidR="00F026A8" w:rsidRPr="00EE7484" w:rsidRDefault="00F026A8" w:rsidP="00EE7484">
            <w:pPr>
              <w:pStyle w:val="Table"/>
              <w:rPr>
                <w:color w:val="FFFFFF" w:themeColor="background1"/>
              </w:rPr>
            </w:pPr>
            <w:r w:rsidRPr="00EE7484">
              <w:rPr>
                <w:color w:val="FFFFFF" w:themeColor="background1"/>
              </w:rPr>
              <w:t>Women on oestrogen alone</w:t>
            </w:r>
          </w:p>
        </w:tc>
        <w:tc>
          <w:tcPr>
            <w:tcW w:w="1843" w:type="dxa"/>
            <w:tcBorders>
              <w:top w:val="single" w:sz="4" w:space="0" w:color="FFFFFF" w:themeColor="background1"/>
              <w:bottom w:val="single" w:sz="4" w:space="0" w:color="FFFFFF" w:themeColor="background1"/>
              <w:right w:val="single" w:sz="4" w:space="0" w:color="FFFFFF" w:themeColor="background1"/>
            </w:tcBorders>
            <w:shd w:val="clear" w:color="auto" w:fill="009FE2" w:themeFill="background2"/>
          </w:tcPr>
          <w:p w:rsidR="00F026A8" w:rsidRPr="00EE7484" w:rsidRDefault="00F026A8" w:rsidP="00EE7484">
            <w:pPr>
              <w:pStyle w:val="Table"/>
              <w:rPr>
                <w:color w:val="FFFFFF" w:themeColor="background1"/>
              </w:rPr>
            </w:pPr>
          </w:p>
          <w:p w:rsidR="00F026A8" w:rsidRPr="00EE7484" w:rsidRDefault="00F026A8" w:rsidP="00EE7484">
            <w:pPr>
              <w:pStyle w:val="Table"/>
              <w:rPr>
                <w:color w:val="FFFFFF" w:themeColor="background1"/>
              </w:rPr>
            </w:pPr>
            <w:r w:rsidRPr="00EE7484">
              <w:rPr>
                <w:color w:val="FFFFFF" w:themeColor="background1"/>
              </w:rPr>
              <w:t>RCT estimate²</w:t>
            </w:r>
          </w:p>
        </w:tc>
        <w:tc>
          <w:tcPr>
            <w:tcW w:w="1701" w:type="dxa"/>
            <w:tcBorders>
              <w:top w:val="single" w:sz="4" w:space="0" w:color="009FE2" w:themeColor="background2"/>
              <w:left w:val="single" w:sz="4" w:space="0" w:color="FFFFFF" w:themeColor="background1"/>
            </w:tcBorders>
          </w:tcPr>
          <w:p w:rsidR="00F026A8" w:rsidRDefault="00F026A8" w:rsidP="00EE7484">
            <w:pPr>
              <w:pStyle w:val="Table"/>
            </w:pPr>
            <w:r>
              <w:t>0</w:t>
            </w:r>
          </w:p>
          <w:p w:rsidR="00F026A8" w:rsidRDefault="00F026A8" w:rsidP="00EE7484">
            <w:pPr>
              <w:pStyle w:val="Table"/>
            </w:pPr>
            <w:r>
              <w:t>(-5 to 10)</w:t>
            </w:r>
          </w:p>
        </w:tc>
        <w:tc>
          <w:tcPr>
            <w:tcW w:w="1823" w:type="dxa"/>
            <w:tcBorders>
              <w:top w:val="single" w:sz="4" w:space="0" w:color="009FE2" w:themeColor="background2"/>
            </w:tcBorders>
          </w:tcPr>
          <w:p w:rsidR="00F026A8" w:rsidRPr="0046446F" w:rsidRDefault="00F026A8" w:rsidP="00EE7484">
            <w:pPr>
              <w:pStyle w:val="Table"/>
              <w:rPr>
                <w:highlight w:val="yellow"/>
              </w:rPr>
            </w:pPr>
            <w:r w:rsidRPr="0046446F">
              <w:rPr>
                <w:highlight w:val="yellow"/>
              </w:rPr>
              <w:t xml:space="preserve">No available </w:t>
            </w:r>
          </w:p>
          <w:p w:rsidR="00F026A8" w:rsidRPr="0046446F" w:rsidRDefault="00F026A8" w:rsidP="00EE7484">
            <w:pPr>
              <w:pStyle w:val="Table"/>
              <w:rPr>
                <w:highlight w:val="yellow"/>
              </w:rPr>
            </w:pPr>
            <w:r w:rsidRPr="0046446F">
              <w:rPr>
                <w:highlight w:val="yellow"/>
              </w:rPr>
              <w:t>data</w:t>
            </w:r>
          </w:p>
        </w:tc>
        <w:tc>
          <w:tcPr>
            <w:tcW w:w="1862" w:type="dxa"/>
            <w:tcBorders>
              <w:top w:val="single" w:sz="4" w:space="0" w:color="009FE2" w:themeColor="background2"/>
            </w:tcBorders>
          </w:tcPr>
          <w:p w:rsidR="00F026A8" w:rsidRPr="0046446F" w:rsidRDefault="00F026A8" w:rsidP="00EE7484">
            <w:pPr>
              <w:pStyle w:val="Table"/>
              <w:rPr>
                <w:highlight w:val="yellow"/>
              </w:rPr>
            </w:pPr>
            <w:r w:rsidRPr="0046446F">
              <w:rPr>
                <w:highlight w:val="yellow"/>
              </w:rPr>
              <w:t xml:space="preserve">No available </w:t>
            </w:r>
          </w:p>
          <w:p w:rsidR="00F026A8" w:rsidRPr="0046446F" w:rsidRDefault="00F026A8" w:rsidP="00EE7484">
            <w:pPr>
              <w:pStyle w:val="Table"/>
              <w:rPr>
                <w:highlight w:val="yellow"/>
              </w:rPr>
            </w:pPr>
            <w:r w:rsidRPr="0046446F">
              <w:rPr>
                <w:highlight w:val="yellow"/>
              </w:rPr>
              <w:t>data</w:t>
            </w:r>
          </w:p>
        </w:tc>
        <w:tc>
          <w:tcPr>
            <w:tcW w:w="1801" w:type="dxa"/>
            <w:tcBorders>
              <w:top w:val="single" w:sz="4" w:space="0" w:color="009FE2" w:themeColor="background2"/>
            </w:tcBorders>
          </w:tcPr>
          <w:p w:rsidR="00F026A8" w:rsidRDefault="00F026A8" w:rsidP="00EE7484">
            <w:pPr>
              <w:pStyle w:val="Table"/>
            </w:pPr>
            <w:r>
              <w:t xml:space="preserve">1 more </w:t>
            </w:r>
            <w:r w:rsidR="00EE7484">
              <w:br/>
            </w:r>
            <w:r>
              <w:t>(-4 to 9)</w:t>
            </w:r>
          </w:p>
        </w:tc>
      </w:tr>
      <w:tr w:rsidR="00EE7484" w:rsidTr="00EE7484">
        <w:trPr>
          <w:trHeight w:val="483"/>
        </w:trPr>
        <w:tc>
          <w:tcPr>
            <w:tcW w:w="1440" w:type="dxa"/>
            <w:vMerge/>
            <w:tcBorders>
              <w:top w:val="single" w:sz="4" w:space="0" w:color="1B4C87" w:themeColor="text2"/>
              <w:bottom w:val="single" w:sz="4" w:space="0" w:color="FFFFFF" w:themeColor="background1"/>
            </w:tcBorders>
            <w:shd w:val="clear" w:color="auto" w:fill="1B4C87" w:themeFill="text2"/>
          </w:tcPr>
          <w:p w:rsidR="00F026A8" w:rsidRPr="00EE7484" w:rsidRDefault="00F026A8" w:rsidP="00EE7484">
            <w:pPr>
              <w:pStyle w:val="Table"/>
              <w:rPr>
                <w:color w:val="FFFFFF" w:themeColor="background1"/>
              </w:rPr>
            </w:pPr>
          </w:p>
        </w:tc>
        <w:tc>
          <w:tcPr>
            <w:tcW w:w="1843" w:type="dxa"/>
            <w:tcBorders>
              <w:top w:val="single" w:sz="4" w:space="0" w:color="FFFFFF" w:themeColor="background1"/>
              <w:bottom w:val="single" w:sz="4" w:space="0" w:color="FFFFFF" w:themeColor="background1"/>
              <w:right w:val="single" w:sz="4" w:space="0" w:color="FFFFFF" w:themeColor="background1"/>
            </w:tcBorders>
            <w:shd w:val="clear" w:color="auto" w:fill="009FE2" w:themeFill="background2"/>
          </w:tcPr>
          <w:p w:rsidR="00F026A8" w:rsidRPr="00EE7484" w:rsidRDefault="00F026A8" w:rsidP="00EE7484">
            <w:pPr>
              <w:pStyle w:val="Table"/>
              <w:rPr>
                <w:color w:val="FFFFFF" w:themeColor="background1"/>
              </w:rPr>
            </w:pPr>
            <w:r w:rsidRPr="00EE7484">
              <w:rPr>
                <w:color w:val="FFFFFF" w:themeColor="background1"/>
              </w:rPr>
              <w:t xml:space="preserve">Observational </w:t>
            </w:r>
          </w:p>
          <w:p w:rsidR="00F026A8" w:rsidRPr="00EE7484" w:rsidRDefault="00F026A8" w:rsidP="00EE7484">
            <w:pPr>
              <w:pStyle w:val="Table"/>
              <w:rPr>
                <w:color w:val="FFFFFF" w:themeColor="background1"/>
              </w:rPr>
            </w:pPr>
            <w:r w:rsidRPr="00EE7484">
              <w:rPr>
                <w:color w:val="FFFFFF" w:themeColor="background1"/>
              </w:rPr>
              <w:t>Estimate³</w:t>
            </w:r>
          </w:p>
        </w:tc>
        <w:tc>
          <w:tcPr>
            <w:tcW w:w="1701" w:type="dxa"/>
            <w:tcBorders>
              <w:left w:val="single" w:sz="4" w:space="0" w:color="FFFFFF" w:themeColor="background1"/>
            </w:tcBorders>
          </w:tcPr>
          <w:p w:rsidR="00F026A8" w:rsidRDefault="00F026A8" w:rsidP="00EE7484">
            <w:pPr>
              <w:pStyle w:val="Table"/>
            </w:pPr>
            <w:r>
              <w:t>3 more</w:t>
            </w:r>
          </w:p>
          <w:p w:rsidR="00F026A8" w:rsidRDefault="00F026A8" w:rsidP="00EE7484">
            <w:pPr>
              <w:pStyle w:val="Table"/>
            </w:pPr>
            <w:r>
              <w:t>(-1 to 8)</w:t>
            </w:r>
          </w:p>
        </w:tc>
        <w:tc>
          <w:tcPr>
            <w:tcW w:w="1823" w:type="dxa"/>
          </w:tcPr>
          <w:p w:rsidR="00F026A8" w:rsidRPr="0046446F" w:rsidRDefault="00F026A8" w:rsidP="00EE7484">
            <w:pPr>
              <w:pStyle w:val="Table"/>
              <w:rPr>
                <w:highlight w:val="yellow"/>
              </w:rPr>
            </w:pPr>
            <w:r w:rsidRPr="0046446F">
              <w:rPr>
                <w:highlight w:val="yellow"/>
              </w:rPr>
              <w:t xml:space="preserve">No available </w:t>
            </w:r>
          </w:p>
          <w:p w:rsidR="00F026A8" w:rsidRPr="0046446F" w:rsidRDefault="00F026A8" w:rsidP="00EE7484">
            <w:pPr>
              <w:pStyle w:val="Table"/>
              <w:rPr>
                <w:highlight w:val="yellow"/>
              </w:rPr>
            </w:pPr>
            <w:r w:rsidRPr="0046446F">
              <w:rPr>
                <w:highlight w:val="yellow"/>
              </w:rPr>
              <w:t>data</w:t>
            </w:r>
          </w:p>
        </w:tc>
        <w:tc>
          <w:tcPr>
            <w:tcW w:w="1862" w:type="dxa"/>
          </w:tcPr>
          <w:p w:rsidR="00F026A8" w:rsidRPr="0046446F" w:rsidRDefault="00F026A8" w:rsidP="00EE7484">
            <w:pPr>
              <w:pStyle w:val="Table"/>
              <w:rPr>
                <w:highlight w:val="yellow"/>
              </w:rPr>
            </w:pPr>
            <w:r w:rsidRPr="0046446F">
              <w:rPr>
                <w:highlight w:val="yellow"/>
              </w:rPr>
              <w:t xml:space="preserve">No available </w:t>
            </w:r>
          </w:p>
          <w:p w:rsidR="00F026A8" w:rsidRPr="0046446F" w:rsidRDefault="00F026A8" w:rsidP="00EE7484">
            <w:pPr>
              <w:pStyle w:val="Table"/>
              <w:rPr>
                <w:highlight w:val="yellow"/>
              </w:rPr>
            </w:pPr>
            <w:r w:rsidRPr="0046446F">
              <w:rPr>
                <w:highlight w:val="yellow"/>
              </w:rPr>
              <w:t>data</w:t>
            </w:r>
          </w:p>
        </w:tc>
        <w:tc>
          <w:tcPr>
            <w:tcW w:w="1801" w:type="dxa"/>
          </w:tcPr>
          <w:p w:rsidR="00F026A8" w:rsidRDefault="00F026A8" w:rsidP="00EE7484">
            <w:pPr>
              <w:pStyle w:val="Table"/>
            </w:pPr>
            <w:r>
              <w:t xml:space="preserve">No available </w:t>
            </w:r>
          </w:p>
          <w:p w:rsidR="00F026A8" w:rsidRDefault="00F026A8" w:rsidP="00EE7484">
            <w:pPr>
              <w:pStyle w:val="Table"/>
            </w:pPr>
            <w:r>
              <w:t>data</w:t>
            </w:r>
          </w:p>
        </w:tc>
      </w:tr>
      <w:tr w:rsidR="00EE7484" w:rsidTr="00EE7484">
        <w:trPr>
          <w:trHeight w:val="564"/>
        </w:trPr>
        <w:tc>
          <w:tcPr>
            <w:tcW w:w="1440" w:type="dxa"/>
            <w:vMerge w:val="restart"/>
            <w:tcBorders>
              <w:top w:val="single" w:sz="4" w:space="0" w:color="FFFFFF" w:themeColor="background1"/>
              <w:bottom w:val="nil"/>
            </w:tcBorders>
            <w:shd w:val="clear" w:color="auto" w:fill="1B4C87" w:themeFill="text2"/>
          </w:tcPr>
          <w:p w:rsidR="00F026A8" w:rsidRPr="00EE7484" w:rsidRDefault="00F026A8" w:rsidP="00EE7484">
            <w:pPr>
              <w:pStyle w:val="Table"/>
              <w:rPr>
                <w:color w:val="FFFFFF" w:themeColor="background1"/>
              </w:rPr>
            </w:pPr>
          </w:p>
          <w:p w:rsidR="00F026A8" w:rsidRPr="00EE7484" w:rsidRDefault="00F026A8" w:rsidP="00EE7484">
            <w:pPr>
              <w:pStyle w:val="Table"/>
              <w:rPr>
                <w:color w:val="FFFFFF" w:themeColor="background1"/>
              </w:rPr>
            </w:pPr>
            <w:r w:rsidRPr="00EE7484">
              <w:rPr>
                <w:color w:val="FFFFFF" w:themeColor="background1"/>
              </w:rPr>
              <w:t>Women on oestrogen &amp; progestogen</w:t>
            </w:r>
          </w:p>
        </w:tc>
        <w:tc>
          <w:tcPr>
            <w:tcW w:w="1843" w:type="dxa"/>
            <w:tcBorders>
              <w:top w:val="single" w:sz="4" w:space="0" w:color="FFFFFF" w:themeColor="background1"/>
              <w:bottom w:val="single" w:sz="4" w:space="0" w:color="FFFFFF" w:themeColor="background1"/>
              <w:right w:val="single" w:sz="4" w:space="0" w:color="FFFFFF" w:themeColor="background1"/>
            </w:tcBorders>
            <w:shd w:val="clear" w:color="auto" w:fill="009FE2" w:themeFill="background2"/>
          </w:tcPr>
          <w:p w:rsidR="00F026A8" w:rsidRPr="00EE7484" w:rsidRDefault="00F026A8" w:rsidP="00EE7484">
            <w:pPr>
              <w:pStyle w:val="Table"/>
              <w:rPr>
                <w:color w:val="FFFFFF" w:themeColor="background1"/>
              </w:rPr>
            </w:pPr>
          </w:p>
          <w:p w:rsidR="00F026A8" w:rsidRPr="00EE7484" w:rsidRDefault="00F026A8" w:rsidP="00EE7484">
            <w:pPr>
              <w:pStyle w:val="Table"/>
              <w:rPr>
                <w:color w:val="FFFFFF" w:themeColor="background1"/>
              </w:rPr>
            </w:pPr>
            <w:r w:rsidRPr="00EE7484">
              <w:rPr>
                <w:color w:val="FFFFFF" w:themeColor="background1"/>
              </w:rPr>
              <w:t>RCT estimate²</w:t>
            </w:r>
          </w:p>
        </w:tc>
        <w:tc>
          <w:tcPr>
            <w:tcW w:w="1701" w:type="dxa"/>
            <w:tcBorders>
              <w:left w:val="single" w:sz="4" w:space="0" w:color="FFFFFF" w:themeColor="background1"/>
            </w:tcBorders>
          </w:tcPr>
          <w:p w:rsidR="00F026A8" w:rsidRDefault="00F026A8" w:rsidP="00EE7484">
            <w:pPr>
              <w:pStyle w:val="Table"/>
            </w:pPr>
            <w:r>
              <w:t xml:space="preserve">6 more </w:t>
            </w:r>
          </w:p>
          <w:p w:rsidR="00F026A8" w:rsidRDefault="00F026A8" w:rsidP="00EE7484">
            <w:pPr>
              <w:pStyle w:val="Table"/>
            </w:pPr>
            <w:r>
              <w:t>(-2 to 21)</w:t>
            </w:r>
          </w:p>
        </w:tc>
        <w:tc>
          <w:tcPr>
            <w:tcW w:w="1823" w:type="dxa"/>
          </w:tcPr>
          <w:p w:rsidR="00F026A8" w:rsidRPr="0046446F" w:rsidRDefault="00F026A8" w:rsidP="00EE7484">
            <w:pPr>
              <w:pStyle w:val="Table"/>
              <w:rPr>
                <w:highlight w:val="yellow"/>
              </w:rPr>
            </w:pPr>
            <w:r w:rsidRPr="0046446F">
              <w:rPr>
                <w:highlight w:val="yellow"/>
              </w:rPr>
              <w:t xml:space="preserve">No available </w:t>
            </w:r>
          </w:p>
          <w:p w:rsidR="00F026A8" w:rsidRPr="0046446F" w:rsidRDefault="00F026A8" w:rsidP="00EE7484">
            <w:pPr>
              <w:pStyle w:val="Table"/>
              <w:rPr>
                <w:highlight w:val="yellow"/>
              </w:rPr>
            </w:pPr>
            <w:r w:rsidRPr="0046446F">
              <w:rPr>
                <w:highlight w:val="yellow"/>
              </w:rPr>
              <w:t>data</w:t>
            </w:r>
          </w:p>
        </w:tc>
        <w:tc>
          <w:tcPr>
            <w:tcW w:w="1862" w:type="dxa"/>
          </w:tcPr>
          <w:p w:rsidR="00F026A8" w:rsidRPr="0046446F" w:rsidRDefault="00F026A8" w:rsidP="00EE7484">
            <w:pPr>
              <w:pStyle w:val="Table"/>
              <w:rPr>
                <w:highlight w:val="yellow"/>
              </w:rPr>
            </w:pPr>
            <w:r w:rsidRPr="0046446F">
              <w:rPr>
                <w:highlight w:val="yellow"/>
              </w:rPr>
              <w:t xml:space="preserve">No available </w:t>
            </w:r>
          </w:p>
          <w:p w:rsidR="00F026A8" w:rsidRPr="0046446F" w:rsidRDefault="00F026A8" w:rsidP="00EE7484">
            <w:pPr>
              <w:pStyle w:val="Table"/>
              <w:rPr>
                <w:highlight w:val="yellow"/>
              </w:rPr>
            </w:pPr>
            <w:r w:rsidRPr="0046446F">
              <w:rPr>
                <w:highlight w:val="yellow"/>
              </w:rPr>
              <w:t>data</w:t>
            </w:r>
          </w:p>
        </w:tc>
        <w:tc>
          <w:tcPr>
            <w:tcW w:w="1801" w:type="dxa"/>
          </w:tcPr>
          <w:p w:rsidR="00F026A8" w:rsidRDefault="00F026A8" w:rsidP="00EE7484">
            <w:pPr>
              <w:pStyle w:val="Table"/>
            </w:pPr>
            <w:r>
              <w:t>4 more</w:t>
            </w:r>
          </w:p>
          <w:p w:rsidR="00F026A8" w:rsidRDefault="00F026A8" w:rsidP="00EE7484">
            <w:pPr>
              <w:pStyle w:val="Table"/>
            </w:pPr>
            <w:r>
              <w:t>(-1 to 13)</w:t>
            </w:r>
          </w:p>
        </w:tc>
      </w:tr>
      <w:tr w:rsidR="00EE7484" w:rsidTr="00EE7484">
        <w:trPr>
          <w:trHeight w:val="559"/>
        </w:trPr>
        <w:tc>
          <w:tcPr>
            <w:tcW w:w="1440" w:type="dxa"/>
            <w:vMerge/>
            <w:tcBorders>
              <w:top w:val="single" w:sz="4" w:space="0" w:color="1B4C87" w:themeColor="text2"/>
              <w:bottom w:val="nil"/>
            </w:tcBorders>
            <w:shd w:val="clear" w:color="auto" w:fill="1B4C87" w:themeFill="text2"/>
          </w:tcPr>
          <w:p w:rsidR="00F026A8" w:rsidRDefault="00F026A8" w:rsidP="00EE7484">
            <w:pPr>
              <w:pStyle w:val="Table"/>
            </w:pPr>
          </w:p>
        </w:tc>
        <w:tc>
          <w:tcPr>
            <w:tcW w:w="1843" w:type="dxa"/>
            <w:tcBorders>
              <w:top w:val="single" w:sz="4" w:space="0" w:color="FFFFFF" w:themeColor="background1"/>
              <w:bottom w:val="nil"/>
              <w:right w:val="single" w:sz="4" w:space="0" w:color="FFFFFF" w:themeColor="background1"/>
            </w:tcBorders>
            <w:shd w:val="clear" w:color="auto" w:fill="009FE2" w:themeFill="background2"/>
          </w:tcPr>
          <w:p w:rsidR="00F026A8" w:rsidRPr="00EE7484" w:rsidRDefault="00F026A8" w:rsidP="00EE7484">
            <w:pPr>
              <w:pStyle w:val="Table"/>
              <w:rPr>
                <w:color w:val="FFFFFF" w:themeColor="background1"/>
              </w:rPr>
            </w:pPr>
            <w:r w:rsidRPr="00EE7484">
              <w:rPr>
                <w:color w:val="FFFFFF" w:themeColor="background1"/>
              </w:rPr>
              <w:t xml:space="preserve">Observational </w:t>
            </w:r>
          </w:p>
          <w:p w:rsidR="00F026A8" w:rsidRPr="00EE7484" w:rsidRDefault="00F026A8" w:rsidP="00EE7484">
            <w:pPr>
              <w:pStyle w:val="Table"/>
              <w:rPr>
                <w:color w:val="FFFFFF" w:themeColor="background1"/>
              </w:rPr>
            </w:pPr>
            <w:r w:rsidRPr="00EE7484">
              <w:rPr>
                <w:color w:val="FFFFFF" w:themeColor="background1"/>
              </w:rPr>
              <w:t>Estimate³</w:t>
            </w:r>
          </w:p>
        </w:tc>
        <w:tc>
          <w:tcPr>
            <w:tcW w:w="1701" w:type="dxa"/>
            <w:tcBorders>
              <w:left w:val="single" w:sz="4" w:space="0" w:color="FFFFFF" w:themeColor="background1"/>
              <w:bottom w:val="nil"/>
            </w:tcBorders>
          </w:tcPr>
          <w:p w:rsidR="00F026A8" w:rsidRDefault="00F026A8" w:rsidP="00EE7484">
            <w:pPr>
              <w:pStyle w:val="Table"/>
            </w:pPr>
            <w:r>
              <w:t>6 more</w:t>
            </w:r>
          </w:p>
          <w:p w:rsidR="00F026A8" w:rsidRDefault="00F026A8" w:rsidP="00EE7484">
            <w:pPr>
              <w:pStyle w:val="Table"/>
            </w:pPr>
            <w:r>
              <w:t>(-2 to 21)</w:t>
            </w:r>
          </w:p>
        </w:tc>
        <w:tc>
          <w:tcPr>
            <w:tcW w:w="1823" w:type="dxa"/>
            <w:tcBorders>
              <w:bottom w:val="nil"/>
            </w:tcBorders>
          </w:tcPr>
          <w:p w:rsidR="00F026A8" w:rsidRPr="0046446F" w:rsidRDefault="00F026A8" w:rsidP="00EE7484">
            <w:pPr>
              <w:pStyle w:val="Table"/>
              <w:rPr>
                <w:highlight w:val="yellow"/>
              </w:rPr>
            </w:pPr>
            <w:r w:rsidRPr="0046446F">
              <w:rPr>
                <w:highlight w:val="yellow"/>
              </w:rPr>
              <w:t xml:space="preserve">No available </w:t>
            </w:r>
          </w:p>
          <w:p w:rsidR="00F026A8" w:rsidRPr="0046446F" w:rsidRDefault="00F026A8" w:rsidP="00EE7484">
            <w:pPr>
              <w:pStyle w:val="Table"/>
              <w:rPr>
                <w:highlight w:val="yellow"/>
              </w:rPr>
            </w:pPr>
            <w:r w:rsidRPr="0046446F">
              <w:rPr>
                <w:highlight w:val="yellow"/>
              </w:rPr>
              <w:t>data</w:t>
            </w:r>
          </w:p>
        </w:tc>
        <w:tc>
          <w:tcPr>
            <w:tcW w:w="1862" w:type="dxa"/>
            <w:tcBorders>
              <w:bottom w:val="nil"/>
            </w:tcBorders>
          </w:tcPr>
          <w:p w:rsidR="00F026A8" w:rsidRPr="0046446F" w:rsidRDefault="00F026A8" w:rsidP="00EE7484">
            <w:pPr>
              <w:pStyle w:val="Table"/>
              <w:rPr>
                <w:highlight w:val="yellow"/>
              </w:rPr>
            </w:pPr>
            <w:r w:rsidRPr="0046446F">
              <w:rPr>
                <w:highlight w:val="yellow"/>
              </w:rPr>
              <w:t xml:space="preserve">No available </w:t>
            </w:r>
          </w:p>
          <w:p w:rsidR="00F026A8" w:rsidRPr="0046446F" w:rsidRDefault="00F026A8" w:rsidP="00EE7484">
            <w:pPr>
              <w:pStyle w:val="Table"/>
              <w:rPr>
                <w:color w:val="0070C0"/>
                <w:highlight w:val="yellow"/>
              </w:rPr>
            </w:pPr>
            <w:r w:rsidRPr="0046446F">
              <w:rPr>
                <w:highlight w:val="yellow"/>
              </w:rPr>
              <w:t>data</w:t>
            </w:r>
          </w:p>
        </w:tc>
        <w:tc>
          <w:tcPr>
            <w:tcW w:w="1801" w:type="dxa"/>
            <w:tcBorders>
              <w:bottom w:val="nil"/>
            </w:tcBorders>
          </w:tcPr>
          <w:p w:rsidR="00F026A8" w:rsidRDefault="00F026A8" w:rsidP="00EE7484">
            <w:pPr>
              <w:pStyle w:val="Table"/>
            </w:pPr>
            <w:r>
              <w:t xml:space="preserve">No available </w:t>
            </w:r>
          </w:p>
          <w:p w:rsidR="00F026A8" w:rsidRDefault="00F026A8" w:rsidP="00EE7484">
            <w:pPr>
              <w:pStyle w:val="Table"/>
            </w:pPr>
            <w:r>
              <w:t>data</w:t>
            </w:r>
          </w:p>
        </w:tc>
      </w:tr>
      <w:tr w:rsidR="00F026A8" w:rsidTr="00EE7484">
        <w:trPr>
          <w:trHeight w:val="1263"/>
        </w:trPr>
        <w:tc>
          <w:tcPr>
            <w:tcW w:w="10470" w:type="dxa"/>
            <w:gridSpan w:val="6"/>
            <w:tcBorders>
              <w:top w:val="nil"/>
            </w:tcBorders>
            <w:shd w:val="clear" w:color="auto" w:fill="C6EEFF" w:themeFill="background2" w:themeFillTint="33"/>
          </w:tcPr>
          <w:p w:rsidR="00F026A8" w:rsidRDefault="00F026A8" w:rsidP="00EE7484">
            <w:pPr>
              <w:pStyle w:val="Table"/>
            </w:pPr>
            <w:r>
              <w:t>HRT (Hormone Replacement Therapy; RCT (Randomised Controlled Trial)</w:t>
            </w:r>
          </w:p>
          <w:p w:rsidR="00F026A8" w:rsidRDefault="00F026A8" w:rsidP="00EE7484">
            <w:pPr>
              <w:pStyle w:val="Table"/>
              <w:rPr>
                <w:u w:val="single"/>
              </w:rPr>
            </w:pPr>
            <w:r>
              <w:t xml:space="preserve">For full source references, see Appendix M in the </w:t>
            </w:r>
            <w:r w:rsidRPr="00462AC9">
              <w:rPr>
                <w:u w:val="single"/>
              </w:rPr>
              <w:t>full guideline</w:t>
            </w:r>
          </w:p>
          <w:p w:rsidR="00F026A8" w:rsidRDefault="00F026A8" w:rsidP="00EE7484">
            <w:pPr>
              <w:pStyle w:val="Table"/>
            </w:pPr>
            <w:r>
              <w:t>¹ Results from Weiner 2008 were used for the baseline population risk estimation</w:t>
            </w:r>
          </w:p>
          <w:p w:rsidR="00F026A8" w:rsidRDefault="00F026A8" w:rsidP="00EE7484">
            <w:pPr>
              <w:pStyle w:val="Table"/>
            </w:pPr>
            <w:r>
              <w:t>² For women aged 50-59 years at entry to the RCT.</w:t>
            </w:r>
          </w:p>
          <w:p w:rsidR="00F026A8" w:rsidRPr="00462AC9" w:rsidRDefault="00F026A8" w:rsidP="00EE7484">
            <w:pPr>
              <w:pStyle w:val="Table"/>
            </w:pPr>
            <w:r>
              <w:t>³ Observational estimates are based on cohort studies with several thousand women</w:t>
            </w:r>
          </w:p>
        </w:tc>
      </w:tr>
    </w:tbl>
    <w:p w:rsidR="00F026A8" w:rsidRDefault="00F026A8" w:rsidP="00F026A8">
      <w:pPr>
        <w:spacing w:after="0" w:line="240" w:lineRule="auto"/>
        <w:jc w:val="both"/>
        <w:rPr>
          <w:rFonts w:ascii="Arial" w:hAnsi="Arial" w:cs="Arial"/>
        </w:rPr>
      </w:pPr>
    </w:p>
    <w:p w:rsidR="00F026A8" w:rsidRDefault="00F026A8" w:rsidP="00F026A8">
      <w:pPr>
        <w:tabs>
          <w:tab w:val="left" w:pos="10348"/>
        </w:tabs>
        <w:spacing w:after="0" w:line="240" w:lineRule="auto"/>
        <w:jc w:val="both"/>
        <w:rPr>
          <w:rFonts w:ascii="Arial" w:hAnsi="Arial" w:cs="Arial"/>
        </w:rPr>
      </w:pPr>
    </w:p>
    <w:p w:rsidR="00F026A8" w:rsidRDefault="00F026A8" w:rsidP="00392BFA">
      <w:pPr>
        <w:spacing w:after="240"/>
      </w:pPr>
      <w:r>
        <w:t>In conclusion, for the majority of women, HRT is a safe and appropriate option – in conjunction with improving lifestyle.</w:t>
      </w:r>
      <w:r w:rsidR="00C74935">
        <w:t xml:space="preserve"> </w:t>
      </w:r>
      <w:r>
        <w:t>It is generally recommended that the lowest dose of hormone to relieve symptoms is prescribed.</w:t>
      </w:r>
      <w:r w:rsidR="00C74935">
        <w:t xml:space="preserve"> </w:t>
      </w:r>
      <w:r>
        <w:t xml:space="preserve">Although it is an individual decision when to stop HRT, risks will increase with age – particularly after 60 years of age. </w:t>
      </w:r>
    </w:p>
    <w:p w:rsidR="00F026A8" w:rsidRPr="001D303D" w:rsidRDefault="00F026A8" w:rsidP="00B154AA">
      <w:pPr>
        <w:pStyle w:val="Heading3"/>
      </w:pPr>
      <w:r w:rsidRPr="001D303D">
        <w:t>Benefits of HRT</w:t>
      </w:r>
    </w:p>
    <w:p w:rsidR="00F026A8" w:rsidRDefault="00F026A8" w:rsidP="00B154AA">
      <w:r>
        <w:t xml:space="preserve">The most noticeable effects of taking HRT are a reduction in menopausal symptoms, which can often respond quite rapidly to treatment. </w:t>
      </w:r>
    </w:p>
    <w:p w:rsidR="00F026A8" w:rsidRDefault="00F026A8" w:rsidP="00B154AA">
      <w:r>
        <w:t>Perhaps even more importantly, HRT provides significant protection against osteoporosis; however, HRT is only licensed for second-line use in the prevention of osteoporosis.</w:t>
      </w:r>
      <w:r w:rsidR="00C74935">
        <w:t xml:space="preserve"> </w:t>
      </w:r>
      <w:r>
        <w:t xml:space="preserve">Although it is recommended that HRT offers some protections against cardiovascular disease and dementia, it is also not licensed for these purposes. </w:t>
      </w:r>
    </w:p>
    <w:p w:rsidR="00F026A8" w:rsidRDefault="00F026A8" w:rsidP="00F026A8">
      <w:pPr>
        <w:tabs>
          <w:tab w:val="left" w:pos="10348"/>
        </w:tabs>
        <w:spacing w:after="0" w:line="240" w:lineRule="auto"/>
        <w:jc w:val="both"/>
        <w:rPr>
          <w:rFonts w:ascii="Arial" w:hAnsi="Arial" w:cs="Arial"/>
        </w:rPr>
      </w:pPr>
    </w:p>
    <w:p w:rsidR="00F026A8" w:rsidRDefault="00F026A8" w:rsidP="00B154AA">
      <w:r>
        <w:lastRenderedPageBreak/>
        <w:t>There are many different types of HRT preparations and doses available, so it is possible that not every woman will find that the first HRT she tries is the one that suits her best.</w:t>
      </w:r>
      <w:r w:rsidR="00C74935">
        <w:t xml:space="preserve"> </w:t>
      </w:r>
      <w:r>
        <w:t xml:space="preserve">It is recommended that at least 3 months commitment to a dose and preparation of HRT is necessary to fully assess its effectiveness. </w:t>
      </w:r>
    </w:p>
    <w:p w:rsidR="00F026A8" w:rsidRDefault="00F026A8" w:rsidP="00B154AA">
      <w:r w:rsidRPr="0046446F">
        <w:t>If you do decide to use HRT then it is recommended that all women using HRT have a yearly check-up with their GP</w:t>
      </w:r>
    </w:p>
    <w:p w:rsidR="00F026A8" w:rsidRDefault="00F026A8" w:rsidP="00F026A8">
      <w:pPr>
        <w:tabs>
          <w:tab w:val="left" w:pos="10348"/>
        </w:tabs>
        <w:spacing w:after="0" w:line="240" w:lineRule="auto"/>
        <w:jc w:val="both"/>
        <w:rPr>
          <w:rFonts w:ascii="Arial" w:hAnsi="Arial" w:cs="Arial"/>
        </w:rPr>
      </w:pPr>
    </w:p>
    <w:p w:rsidR="00F026A8" w:rsidRPr="00D31C14" w:rsidRDefault="00F026A8" w:rsidP="00B154AA">
      <w:pPr>
        <w:pStyle w:val="Heading3"/>
      </w:pPr>
      <w:r w:rsidRPr="00D31C14">
        <w:t>The different forms of HRT</w:t>
      </w:r>
    </w:p>
    <w:p w:rsidR="00F026A8" w:rsidRDefault="00F026A8" w:rsidP="00F026A8">
      <w:pPr>
        <w:spacing w:after="0" w:line="240" w:lineRule="auto"/>
        <w:jc w:val="both"/>
        <w:rPr>
          <w:rFonts w:ascii="Arial" w:hAnsi="Arial" w:cs="Arial"/>
          <w:b/>
          <w:color w:val="471A4B" w:themeColor="accent4" w:themeShade="BF"/>
        </w:rPr>
      </w:pPr>
    </w:p>
    <w:p w:rsidR="00F026A8" w:rsidRPr="00D31C14" w:rsidRDefault="00F026A8" w:rsidP="00B154AA">
      <w:pPr>
        <w:pStyle w:val="Heading4"/>
      </w:pPr>
      <w:r w:rsidRPr="00D31C14">
        <w:t>Main Classes of HRT</w:t>
      </w:r>
    </w:p>
    <w:p w:rsidR="00F026A8" w:rsidRDefault="00F026A8" w:rsidP="00B154AA">
      <w:r>
        <w:t>There are three major types of HRT, and the one a woman receives will depend on whether she has just begun her menopause and is postmenopausal, or whether she has had a natural or surgical menopause.</w:t>
      </w:r>
    </w:p>
    <w:p w:rsidR="00F026A8" w:rsidRDefault="00F026A8" w:rsidP="00F026A8">
      <w:pPr>
        <w:spacing w:after="0" w:line="240" w:lineRule="auto"/>
        <w:jc w:val="both"/>
        <w:rPr>
          <w:rFonts w:ascii="Arial" w:hAnsi="Arial" w:cs="Arial"/>
        </w:rPr>
      </w:pPr>
    </w:p>
    <w:p w:rsidR="00F026A8" w:rsidRPr="00392BFA" w:rsidRDefault="00F026A8" w:rsidP="00392BFA">
      <w:pPr>
        <w:pStyle w:val="ListParagraph"/>
        <w:numPr>
          <w:ilvl w:val="0"/>
          <w:numId w:val="14"/>
        </w:numPr>
        <w:ind w:left="397" w:right="283"/>
        <w:rPr>
          <w:b/>
          <w:bCs/>
          <w:sz w:val="24"/>
          <w:szCs w:val="20"/>
        </w:rPr>
      </w:pPr>
      <w:proofErr w:type="spellStart"/>
      <w:r w:rsidRPr="00392BFA">
        <w:rPr>
          <w:b/>
          <w:bCs/>
          <w:sz w:val="24"/>
          <w:szCs w:val="20"/>
        </w:rPr>
        <w:t>Oestrogen</w:t>
      </w:r>
      <w:proofErr w:type="spellEnd"/>
      <w:r w:rsidRPr="00392BFA">
        <w:rPr>
          <w:b/>
          <w:bCs/>
          <w:sz w:val="24"/>
          <w:szCs w:val="20"/>
        </w:rPr>
        <w:t xml:space="preserve"> Only HRT:</w:t>
      </w:r>
    </w:p>
    <w:p w:rsidR="00F026A8" w:rsidRPr="00392BFA" w:rsidRDefault="00F026A8" w:rsidP="00392BFA">
      <w:pPr>
        <w:pStyle w:val="ListParagraph"/>
        <w:spacing w:after="240"/>
        <w:ind w:left="397" w:right="283" w:firstLine="0"/>
        <w:rPr>
          <w:sz w:val="24"/>
          <w:szCs w:val="20"/>
        </w:rPr>
      </w:pPr>
      <w:r w:rsidRPr="00392BFA">
        <w:rPr>
          <w:sz w:val="24"/>
          <w:szCs w:val="20"/>
        </w:rPr>
        <w:t>This is recommended for women who have had their womb removed by a hysterectomy.</w:t>
      </w:r>
      <w:r w:rsidR="00C74935">
        <w:rPr>
          <w:sz w:val="24"/>
          <w:szCs w:val="20"/>
        </w:rPr>
        <w:t xml:space="preserve"> </w:t>
      </w:r>
      <w:r w:rsidRPr="00392BFA">
        <w:rPr>
          <w:sz w:val="24"/>
          <w:szCs w:val="20"/>
        </w:rPr>
        <w:t>Because the role of progestogen is to protect the womb lining (</w:t>
      </w:r>
      <w:proofErr w:type="spellStart"/>
      <w:r w:rsidRPr="00392BFA">
        <w:rPr>
          <w:sz w:val="24"/>
          <w:szCs w:val="20"/>
        </w:rPr>
        <w:t>endometrium</w:t>
      </w:r>
      <w:proofErr w:type="spellEnd"/>
      <w:r w:rsidRPr="00392BFA">
        <w:rPr>
          <w:sz w:val="24"/>
          <w:szCs w:val="20"/>
        </w:rPr>
        <w:t xml:space="preserve">), this group of women generally do not need progestogen and are therefore usually prescribed </w:t>
      </w:r>
      <w:proofErr w:type="spellStart"/>
      <w:r w:rsidRPr="00392BFA">
        <w:rPr>
          <w:sz w:val="24"/>
          <w:szCs w:val="20"/>
        </w:rPr>
        <w:t>oestrogen</w:t>
      </w:r>
      <w:proofErr w:type="spellEnd"/>
      <w:r w:rsidRPr="00392BFA">
        <w:rPr>
          <w:sz w:val="24"/>
          <w:szCs w:val="20"/>
        </w:rPr>
        <w:t xml:space="preserve"> only HRT (See hysterectomy and </w:t>
      </w:r>
      <w:r w:rsidR="00392BFA">
        <w:rPr>
          <w:sz w:val="24"/>
          <w:szCs w:val="20"/>
        </w:rPr>
        <w:br/>
      </w:r>
      <w:r w:rsidRPr="00392BFA">
        <w:rPr>
          <w:sz w:val="24"/>
          <w:szCs w:val="20"/>
        </w:rPr>
        <w:t>menopause leaflet).</w:t>
      </w:r>
    </w:p>
    <w:p w:rsidR="00F026A8" w:rsidRPr="00392BFA" w:rsidRDefault="00F026A8" w:rsidP="00392BFA">
      <w:pPr>
        <w:pStyle w:val="ListParagraph"/>
        <w:numPr>
          <w:ilvl w:val="0"/>
          <w:numId w:val="14"/>
        </w:numPr>
        <w:ind w:left="397" w:right="283"/>
        <w:rPr>
          <w:b/>
          <w:bCs/>
          <w:sz w:val="24"/>
          <w:szCs w:val="20"/>
        </w:rPr>
      </w:pPr>
      <w:r w:rsidRPr="00392BFA">
        <w:rPr>
          <w:b/>
          <w:bCs/>
          <w:sz w:val="24"/>
          <w:szCs w:val="20"/>
        </w:rPr>
        <w:t>Cyclical or Sequential HRT:</w:t>
      </w:r>
    </w:p>
    <w:p w:rsidR="00F026A8" w:rsidRPr="00392BFA" w:rsidRDefault="00F026A8" w:rsidP="00392BFA">
      <w:pPr>
        <w:pStyle w:val="ListParagraph"/>
        <w:spacing w:after="240"/>
        <w:ind w:left="397" w:right="283" w:firstLine="0"/>
        <w:rPr>
          <w:sz w:val="24"/>
          <w:szCs w:val="20"/>
        </w:rPr>
      </w:pPr>
      <w:r w:rsidRPr="00392BFA">
        <w:rPr>
          <w:sz w:val="24"/>
          <w:szCs w:val="20"/>
        </w:rPr>
        <w:t>This HRT is recommended for women who have had a natural menopause, or who are approaching the menopause, but are still having periods (</w:t>
      </w:r>
      <w:proofErr w:type="spellStart"/>
      <w:r w:rsidRPr="00392BFA">
        <w:rPr>
          <w:sz w:val="24"/>
          <w:szCs w:val="20"/>
        </w:rPr>
        <w:t>perimenopause</w:t>
      </w:r>
      <w:proofErr w:type="spellEnd"/>
      <w:r w:rsidRPr="00392BFA">
        <w:rPr>
          <w:sz w:val="24"/>
          <w:szCs w:val="20"/>
        </w:rPr>
        <w:t>).</w:t>
      </w:r>
      <w:r w:rsidR="00C74935">
        <w:rPr>
          <w:sz w:val="24"/>
          <w:szCs w:val="20"/>
        </w:rPr>
        <w:t xml:space="preserve"> </w:t>
      </w:r>
      <w:r w:rsidRPr="00392BFA">
        <w:rPr>
          <w:sz w:val="24"/>
          <w:szCs w:val="20"/>
        </w:rPr>
        <w:t xml:space="preserve">Cyclical HRT contains </w:t>
      </w:r>
      <w:proofErr w:type="spellStart"/>
      <w:r w:rsidRPr="00392BFA">
        <w:rPr>
          <w:sz w:val="24"/>
          <w:szCs w:val="20"/>
        </w:rPr>
        <w:t>oestrogen</w:t>
      </w:r>
      <w:proofErr w:type="spellEnd"/>
      <w:r w:rsidRPr="00392BFA">
        <w:rPr>
          <w:sz w:val="24"/>
          <w:szCs w:val="20"/>
        </w:rPr>
        <w:t xml:space="preserve"> and a progestogen (a form of progesterone) and this will produce regular bleeding to protect the </w:t>
      </w:r>
      <w:proofErr w:type="spellStart"/>
      <w:r w:rsidRPr="00392BFA">
        <w:rPr>
          <w:sz w:val="24"/>
          <w:szCs w:val="20"/>
        </w:rPr>
        <w:t>endometrium</w:t>
      </w:r>
      <w:proofErr w:type="spellEnd"/>
      <w:r w:rsidRPr="00392BFA">
        <w:rPr>
          <w:sz w:val="24"/>
          <w:szCs w:val="20"/>
        </w:rPr>
        <w:t>.</w:t>
      </w:r>
    </w:p>
    <w:p w:rsidR="00F026A8" w:rsidRPr="00392BFA" w:rsidRDefault="00F026A8" w:rsidP="00392BFA">
      <w:pPr>
        <w:pStyle w:val="ListParagraph"/>
        <w:numPr>
          <w:ilvl w:val="0"/>
          <w:numId w:val="14"/>
        </w:numPr>
        <w:ind w:left="397" w:right="283"/>
        <w:rPr>
          <w:b/>
          <w:bCs/>
          <w:sz w:val="24"/>
          <w:szCs w:val="20"/>
        </w:rPr>
      </w:pPr>
      <w:r w:rsidRPr="00392BFA">
        <w:rPr>
          <w:b/>
          <w:bCs/>
          <w:sz w:val="24"/>
          <w:szCs w:val="20"/>
        </w:rPr>
        <w:t>Continuous Combined or Period-Free HRT:</w:t>
      </w:r>
      <w:r w:rsidRPr="00392BFA">
        <w:rPr>
          <w:b/>
          <w:bCs/>
          <w:sz w:val="24"/>
          <w:szCs w:val="20"/>
        </w:rPr>
        <w:tab/>
      </w:r>
      <w:r w:rsidRPr="00392BFA">
        <w:rPr>
          <w:b/>
          <w:bCs/>
          <w:sz w:val="24"/>
          <w:szCs w:val="20"/>
        </w:rPr>
        <w:tab/>
      </w:r>
    </w:p>
    <w:p w:rsidR="00F026A8" w:rsidRPr="00392BFA" w:rsidRDefault="00F026A8" w:rsidP="00392BFA">
      <w:pPr>
        <w:pStyle w:val="ListParagraph"/>
        <w:ind w:left="397" w:right="283" w:firstLine="0"/>
        <w:rPr>
          <w:sz w:val="24"/>
          <w:szCs w:val="20"/>
        </w:rPr>
      </w:pPr>
      <w:r w:rsidRPr="00392BFA">
        <w:rPr>
          <w:sz w:val="24"/>
          <w:szCs w:val="20"/>
        </w:rPr>
        <w:t xml:space="preserve">This is recommended for women who have not had </w:t>
      </w:r>
      <w:proofErr w:type="gramStart"/>
      <w:r w:rsidRPr="00392BFA">
        <w:rPr>
          <w:sz w:val="24"/>
          <w:szCs w:val="20"/>
        </w:rPr>
        <w:t>a periods</w:t>
      </w:r>
      <w:proofErr w:type="gramEnd"/>
      <w:r w:rsidRPr="00392BFA">
        <w:rPr>
          <w:sz w:val="24"/>
          <w:szCs w:val="20"/>
        </w:rPr>
        <w:t xml:space="preserve"> for a least one year and are therefore post-menopausal.</w:t>
      </w:r>
      <w:r w:rsidR="00C74935">
        <w:rPr>
          <w:sz w:val="24"/>
          <w:szCs w:val="20"/>
        </w:rPr>
        <w:t xml:space="preserve"> </w:t>
      </w:r>
      <w:r w:rsidRPr="00392BFA">
        <w:rPr>
          <w:sz w:val="24"/>
          <w:szCs w:val="20"/>
        </w:rPr>
        <w:t>Period-free HRT contains similar hormones to cyclical HRT but, does not stimulate period bleeding.</w:t>
      </w:r>
      <w:r w:rsidR="00C74935">
        <w:rPr>
          <w:sz w:val="24"/>
          <w:szCs w:val="20"/>
        </w:rPr>
        <w:t xml:space="preserve"> </w:t>
      </w:r>
      <w:r w:rsidRPr="00392BFA">
        <w:rPr>
          <w:sz w:val="24"/>
          <w:szCs w:val="20"/>
        </w:rPr>
        <w:t>Period-free HRT can be started straight away if you have not previously been on any HRT and are post-menopausal.</w:t>
      </w:r>
      <w:r w:rsidR="00C74935">
        <w:rPr>
          <w:sz w:val="24"/>
          <w:szCs w:val="20"/>
        </w:rPr>
        <w:t xml:space="preserve"> </w:t>
      </w:r>
      <w:r w:rsidRPr="00392BFA">
        <w:rPr>
          <w:sz w:val="24"/>
          <w:szCs w:val="20"/>
        </w:rPr>
        <w:t>Swapping from cyclical HRT to period-free HRT is recommended after 5 years of cyclical HRT usage, or at age 54.</w:t>
      </w:r>
    </w:p>
    <w:p w:rsidR="00F026A8" w:rsidRPr="006E150F" w:rsidRDefault="00F026A8" w:rsidP="00F026A8">
      <w:pPr>
        <w:spacing w:after="0" w:line="240" w:lineRule="auto"/>
        <w:jc w:val="both"/>
        <w:rPr>
          <w:rFonts w:ascii="Arial" w:hAnsi="Arial" w:cs="Arial"/>
          <w:color w:val="471A4B" w:themeColor="accent4" w:themeShade="BF"/>
        </w:rPr>
      </w:pPr>
    </w:p>
    <w:p w:rsidR="00392BFA" w:rsidRDefault="00392BFA" w:rsidP="00F026A8">
      <w:pPr>
        <w:tabs>
          <w:tab w:val="left" w:pos="10348"/>
        </w:tabs>
        <w:spacing w:after="0" w:line="240" w:lineRule="auto"/>
        <w:jc w:val="both"/>
        <w:rPr>
          <w:rFonts w:ascii="Arial" w:hAnsi="Arial" w:cs="Arial"/>
          <w:b/>
          <w:i/>
          <w:iCs/>
        </w:rPr>
      </w:pPr>
      <w:r>
        <w:rPr>
          <w:rFonts w:ascii="Arial" w:hAnsi="Arial" w:cs="Arial"/>
          <w:b/>
          <w:i/>
          <w:iCs/>
        </w:rPr>
        <w:br w:type="page"/>
      </w:r>
    </w:p>
    <w:p w:rsidR="00F026A8" w:rsidRPr="00D31C14" w:rsidRDefault="00F026A8" w:rsidP="00392BFA">
      <w:pPr>
        <w:pStyle w:val="Heading4"/>
      </w:pPr>
      <w:r w:rsidRPr="00D31C14">
        <w:lastRenderedPageBreak/>
        <w:t>T</w:t>
      </w:r>
      <w:r w:rsidR="00BF176B">
        <w:t>ablets, Patches &amp; Gels</w:t>
      </w:r>
    </w:p>
    <w:p w:rsidR="00F026A8" w:rsidRDefault="00F026A8" w:rsidP="00392BFA">
      <w:r>
        <w:t>HRT is most commonly prescribed in tablet form and there are many different brands available containing varying combinations of oestrogen alone or in combination with progestogen.</w:t>
      </w:r>
      <w:r w:rsidR="00C74935">
        <w:t xml:space="preserve"> </w:t>
      </w:r>
      <w:r>
        <w:t>HRT ca</w:t>
      </w:r>
      <w:r w:rsidR="00BF176B">
        <w:t>n also be prescribed in patch or</w:t>
      </w:r>
      <w:r>
        <w:t xml:space="preserve"> gel</w:t>
      </w:r>
      <w:r w:rsidR="00BF176B">
        <w:t xml:space="preserve"> transdermal </w:t>
      </w:r>
      <w:r>
        <w:t>form</w:t>
      </w:r>
      <w:r w:rsidR="00BF176B">
        <w:t xml:space="preserve">s. </w:t>
      </w:r>
      <w:proofErr w:type="gramStart"/>
      <w:r w:rsidR="00BF176B">
        <w:t>Also</w:t>
      </w:r>
      <w:r>
        <w:t xml:space="preserve"> “local “HRT includes </w:t>
      </w:r>
      <w:r w:rsidRPr="00D31C14">
        <w:t xml:space="preserve">creams, </w:t>
      </w:r>
      <w:r w:rsidR="00BF176B">
        <w:t xml:space="preserve">vaginal </w:t>
      </w:r>
      <w:r w:rsidRPr="00D31C14">
        <w:t xml:space="preserve">tablets </w:t>
      </w:r>
      <w:proofErr w:type="spellStart"/>
      <w:r w:rsidRPr="00D31C14">
        <w:t>pessaries</w:t>
      </w:r>
      <w:proofErr w:type="spellEnd"/>
      <w:r w:rsidRPr="00D31C14">
        <w:t xml:space="preserve"> and rings which are inserted in to the vagina, where the oestroge</w:t>
      </w:r>
      <w:r w:rsidR="00BF176B">
        <w:t>n helps reduce vaginal dryness</w:t>
      </w:r>
      <w:r w:rsidRPr="00D31C14">
        <w:t>.</w:t>
      </w:r>
      <w:proofErr w:type="gramEnd"/>
    </w:p>
    <w:p w:rsidR="00F026A8" w:rsidRPr="00CC2613" w:rsidRDefault="00BF176B" w:rsidP="00392BFA">
      <w:r>
        <w:t xml:space="preserve">Transdermal </w:t>
      </w:r>
      <w:proofErr w:type="gramStart"/>
      <w:r>
        <w:t>preparations  are</w:t>
      </w:r>
      <w:proofErr w:type="gramEnd"/>
      <w:r w:rsidR="00F026A8">
        <w:t xml:space="preserve"> particularly useful for women with bowel dysfunction (IBS, </w:t>
      </w:r>
      <w:proofErr w:type="spellStart"/>
      <w:r w:rsidR="00F026A8">
        <w:t>Crohn’s</w:t>
      </w:r>
      <w:proofErr w:type="spellEnd"/>
      <w:r w:rsidR="00F026A8">
        <w:t>, Diverticulitis etc), or a history of clotting problems.</w:t>
      </w:r>
      <w:r w:rsidR="00C74935">
        <w:t xml:space="preserve"> </w:t>
      </w:r>
      <w:r>
        <w:t>Previously hormones could</w:t>
      </w:r>
      <w:r w:rsidR="00F026A8">
        <w:t xml:space="preserve"> be delivered via implant</w:t>
      </w:r>
      <w:r>
        <w:t>s that lasted</w:t>
      </w:r>
      <w:r w:rsidR="00F026A8">
        <w:t xml:space="preserve"> approximately 6 months at a time.</w:t>
      </w:r>
      <w:r w:rsidR="00C74935">
        <w:t xml:space="preserve"> </w:t>
      </w:r>
      <w:r w:rsidR="00F026A8">
        <w:t xml:space="preserve">Unfortunately, implants are currently not being </w:t>
      </w:r>
      <w:r w:rsidR="00F026A8" w:rsidRPr="00D31C14">
        <w:rPr>
          <w:highlight w:val="green"/>
        </w:rPr>
        <w:t>manufacture</w:t>
      </w:r>
      <w:r>
        <w:t>d</w:t>
      </w:r>
      <w:r w:rsidR="00F026A8">
        <w:t xml:space="preserve"> or </w:t>
      </w:r>
      <w:r w:rsidR="00F026A8" w:rsidRPr="00D31C14">
        <w:rPr>
          <w:highlight w:val="green"/>
        </w:rPr>
        <w:t>available on the NHS in the UK.</w:t>
      </w:r>
    </w:p>
    <w:p w:rsidR="00F026A8" w:rsidRPr="00D31C14" w:rsidRDefault="00F026A8" w:rsidP="00392BFA">
      <w:pPr>
        <w:pStyle w:val="Heading4"/>
      </w:pPr>
      <w:r w:rsidRPr="00D31C14">
        <w:t>Side Effects to HRT</w:t>
      </w:r>
    </w:p>
    <w:p w:rsidR="00F026A8" w:rsidRDefault="00F026A8" w:rsidP="00392BFA">
      <w:r>
        <w:t xml:space="preserve">Side-effects with HRT are uncommon. In the first few weeks some women may develop slight nausea, some breast discomfort or leg cramps. These tend to settle within a few weeks. Some women report more headaches or migraines while taking HRT. Skin irritation can occur </w:t>
      </w:r>
      <w:r w:rsidR="00BF176B">
        <w:t xml:space="preserve">rarely </w:t>
      </w:r>
      <w:r>
        <w:t xml:space="preserve">with HRT patches. </w:t>
      </w:r>
    </w:p>
    <w:p w:rsidR="00F026A8" w:rsidRPr="00D31C14" w:rsidRDefault="00F026A8" w:rsidP="00392BFA">
      <w:pPr>
        <w:pStyle w:val="Heading4"/>
      </w:pPr>
      <w:r w:rsidRPr="00D31C14">
        <w:t>Contraindications to Taking HRT</w:t>
      </w:r>
    </w:p>
    <w:p w:rsidR="00F026A8" w:rsidRDefault="00F026A8" w:rsidP="00392BFA">
      <w:r>
        <w:t>HRT may not be recommended for some women with –</w:t>
      </w:r>
    </w:p>
    <w:p w:rsidR="00F026A8" w:rsidRDefault="00F026A8" w:rsidP="00392BFA">
      <w:pPr>
        <w:pStyle w:val="LRBodyTextBullet"/>
      </w:pPr>
      <w:r>
        <w:t>A history of gynaecology cancers</w:t>
      </w:r>
    </w:p>
    <w:p w:rsidR="00F026A8" w:rsidRDefault="00F026A8" w:rsidP="00392BFA">
      <w:pPr>
        <w:pStyle w:val="LRBodyTextBullet"/>
      </w:pPr>
      <w:r>
        <w:t>A history of blood clots (DVT, PE, stroke)</w:t>
      </w:r>
    </w:p>
    <w:p w:rsidR="00F026A8" w:rsidRDefault="00F026A8" w:rsidP="00392BFA">
      <w:pPr>
        <w:pStyle w:val="LRBodyTextBullet"/>
      </w:pPr>
      <w:r>
        <w:t>A history of heart attack</w:t>
      </w:r>
    </w:p>
    <w:p w:rsidR="00F026A8" w:rsidRDefault="00F026A8" w:rsidP="00392BFA">
      <w:pPr>
        <w:pStyle w:val="LRBodyTextBullet"/>
      </w:pPr>
      <w:r>
        <w:t>Uncontrolled hypertension</w:t>
      </w:r>
    </w:p>
    <w:p w:rsidR="00F026A8" w:rsidRDefault="00F026A8" w:rsidP="00392BFA">
      <w:pPr>
        <w:pStyle w:val="LRBodyTextBullet"/>
      </w:pPr>
      <w:r>
        <w:t>Severe liver disease</w:t>
      </w:r>
    </w:p>
    <w:p w:rsidR="00F026A8" w:rsidRDefault="00F026A8" w:rsidP="00392BFA">
      <w:pPr>
        <w:pStyle w:val="LRBodyTextBullet"/>
      </w:pPr>
      <w:r>
        <w:t>Pregnancy</w:t>
      </w:r>
    </w:p>
    <w:p w:rsidR="00F026A8" w:rsidRDefault="00F026A8" w:rsidP="00392BFA">
      <w:pPr>
        <w:pStyle w:val="LRBodyTextBullet"/>
      </w:pPr>
      <w:r>
        <w:t>Undiagnosed vaginal bleeding</w:t>
      </w:r>
    </w:p>
    <w:p w:rsidR="00F026A8" w:rsidRDefault="00F026A8" w:rsidP="00392BFA">
      <w:pPr>
        <w:pStyle w:val="LRBodyTextBullet"/>
      </w:pPr>
      <w:r>
        <w:t>Undiagnosed breast lump</w:t>
      </w:r>
    </w:p>
    <w:p w:rsidR="00F026A8" w:rsidRDefault="00F026A8" w:rsidP="00F026A8">
      <w:pPr>
        <w:spacing w:after="0" w:line="240" w:lineRule="auto"/>
        <w:jc w:val="both"/>
        <w:rPr>
          <w:rFonts w:ascii="Arial" w:hAnsi="Arial" w:cs="Arial"/>
        </w:rPr>
      </w:pPr>
    </w:p>
    <w:p w:rsidR="00F026A8" w:rsidRPr="00D31C14" w:rsidRDefault="00F026A8" w:rsidP="00392BFA">
      <w:pPr>
        <w:pStyle w:val="Heading3"/>
      </w:pPr>
      <w:r w:rsidRPr="00D31C14">
        <w:t>Contraception and the change</w:t>
      </w:r>
    </w:p>
    <w:p w:rsidR="00F026A8" w:rsidRDefault="00F026A8" w:rsidP="00392BFA">
      <w:pPr>
        <w:rPr>
          <w:b/>
          <w:bCs/>
          <w:szCs w:val="24"/>
        </w:rPr>
      </w:pPr>
      <w:r>
        <w:t>HRT does not generally have a contraceptive effect (exceptio</w:t>
      </w:r>
      <w:r w:rsidR="00BF176B">
        <w:t xml:space="preserve">ns include </w:t>
      </w:r>
      <w:proofErr w:type="spellStart"/>
      <w:r w:rsidR="00BF176B">
        <w:t>Mirena</w:t>
      </w:r>
      <w:proofErr w:type="spellEnd"/>
      <w:r w:rsidR="00BF176B">
        <w:t xml:space="preserve"> </w:t>
      </w:r>
      <w:proofErr w:type="gramStart"/>
      <w:r w:rsidR="00BF176B">
        <w:t>IUS )</w:t>
      </w:r>
      <w:proofErr w:type="gramEnd"/>
      <w:r>
        <w:t>.</w:t>
      </w:r>
      <w:r w:rsidR="00C74935">
        <w:t xml:space="preserve"> </w:t>
      </w:r>
      <w:r>
        <w:t xml:space="preserve">Therefore you should continue to use an alternative, non-hormonal form of contraception for one year after last period if over 50 years of age, </w:t>
      </w:r>
      <w:r w:rsidR="00392BFA">
        <w:br/>
      </w:r>
      <w:r>
        <w:t>and two years if less than 50</w:t>
      </w:r>
    </w:p>
    <w:p w:rsidR="00F026A8" w:rsidRPr="0046446F" w:rsidRDefault="00F026A8" w:rsidP="00392BFA">
      <w:pPr>
        <w:pStyle w:val="Heading3"/>
      </w:pPr>
      <w:r w:rsidRPr="0046446F">
        <w:t>Making a change</w:t>
      </w:r>
    </w:p>
    <w:p w:rsidR="00F026A8" w:rsidRPr="0046446F" w:rsidRDefault="00F026A8" w:rsidP="00392BFA">
      <w:r w:rsidRPr="0046446F">
        <w:t xml:space="preserve">Simple lifestyle changes (for example – reducing alcohol and caffeine, reducing/stopping smoking, losing excess weight and increasing exercise) will also definitely improve menopause symptoms, and reduce risk of age-related diseases. </w:t>
      </w:r>
    </w:p>
    <w:p w:rsidR="00F026A8" w:rsidRDefault="00F026A8" w:rsidP="00392BFA">
      <w:r w:rsidRPr="0046446F">
        <w:t xml:space="preserve">Non-hormonal alternatives to HRT are also </w:t>
      </w:r>
      <w:r w:rsidR="00BF176B" w:rsidRPr="0046446F">
        <w:t>available</w:t>
      </w:r>
      <w:r w:rsidR="00BF176B">
        <w:t xml:space="preserve"> and </w:t>
      </w:r>
      <w:r w:rsidR="00BF176B" w:rsidRPr="0046446F">
        <w:t>for</w:t>
      </w:r>
      <w:r w:rsidRPr="0046446F">
        <w:t xml:space="preserve"> more information</w:t>
      </w:r>
      <w:r>
        <w:t xml:space="preserve"> on this and the menopause:</w:t>
      </w:r>
    </w:p>
    <w:p w:rsidR="00F026A8" w:rsidRDefault="00F026A8" w:rsidP="00F026A8">
      <w:pPr>
        <w:spacing w:after="0" w:line="240" w:lineRule="auto"/>
        <w:jc w:val="both"/>
        <w:rPr>
          <w:rFonts w:ascii="Arial" w:hAnsi="Arial" w:cs="Arial"/>
        </w:rPr>
      </w:pPr>
    </w:p>
    <w:p w:rsidR="00F026A8" w:rsidRPr="000D44E1" w:rsidRDefault="00F026A8" w:rsidP="00392BFA">
      <w:pPr>
        <w:pStyle w:val="Heading3"/>
      </w:pPr>
      <w:r w:rsidRPr="000D44E1">
        <w:lastRenderedPageBreak/>
        <w:t>Further reading and useful references:</w:t>
      </w:r>
    </w:p>
    <w:p w:rsidR="00F026A8" w:rsidRDefault="00F026A8" w:rsidP="00F026A8">
      <w:pPr>
        <w:spacing w:after="0" w:line="240" w:lineRule="auto"/>
        <w:jc w:val="both"/>
        <w:rPr>
          <w:rFonts w:ascii="Arial" w:hAnsi="Arial" w:cs="Arial"/>
        </w:rPr>
      </w:pPr>
    </w:p>
    <w:p w:rsidR="00F026A8" w:rsidRPr="00077FF3" w:rsidRDefault="00F026A8" w:rsidP="00392BFA">
      <w:r w:rsidRPr="00077FF3">
        <w:t>British Menopause Society</w:t>
      </w:r>
      <w:r w:rsidRPr="00077FF3">
        <w:tab/>
      </w:r>
      <w:r w:rsidRPr="00077FF3">
        <w:tab/>
      </w:r>
      <w:r w:rsidRPr="00077FF3">
        <w:tab/>
      </w:r>
      <w:r w:rsidRPr="00077FF3">
        <w:tab/>
      </w:r>
      <w:r w:rsidRPr="00392BFA">
        <w:rPr>
          <w:rStyle w:val="Hyperlink"/>
        </w:rPr>
        <w:t>www.thebms.org.uk</w:t>
      </w:r>
    </w:p>
    <w:p w:rsidR="00F026A8" w:rsidRPr="00077FF3" w:rsidRDefault="00F026A8" w:rsidP="00392BFA">
      <w:pPr>
        <w:rPr>
          <w:b/>
        </w:rPr>
      </w:pPr>
      <w:r w:rsidRPr="00077FF3">
        <w:t>Menopause Matters</w:t>
      </w:r>
      <w:r w:rsidRPr="00077FF3">
        <w:tab/>
      </w:r>
      <w:r w:rsidRPr="00077FF3">
        <w:tab/>
      </w:r>
      <w:r w:rsidRPr="00077FF3">
        <w:tab/>
      </w:r>
      <w:r w:rsidRPr="00077FF3">
        <w:tab/>
      </w:r>
      <w:r w:rsidRPr="00077FF3">
        <w:tab/>
      </w:r>
      <w:r w:rsidRPr="00392BFA">
        <w:rPr>
          <w:rStyle w:val="Hyperlink"/>
        </w:rPr>
        <w:t>www.menopausematters.co.uk</w:t>
      </w:r>
    </w:p>
    <w:p w:rsidR="00F026A8" w:rsidRPr="00077FF3" w:rsidRDefault="00F026A8" w:rsidP="00392BFA">
      <w:r w:rsidRPr="00077FF3">
        <w:t>National Institute for Health and Care</w:t>
      </w:r>
      <w:r w:rsidRPr="00077FF3">
        <w:tab/>
      </w:r>
      <w:r w:rsidRPr="00077FF3">
        <w:tab/>
      </w:r>
      <w:r w:rsidRPr="00392BFA">
        <w:rPr>
          <w:rStyle w:val="Hyperlink"/>
        </w:rPr>
        <w:t>www.nice.org.uk/guidance/nh23</w:t>
      </w:r>
    </w:p>
    <w:p w:rsidR="00F026A8" w:rsidRPr="00077FF3" w:rsidRDefault="00F026A8" w:rsidP="00392BFA">
      <w:r w:rsidRPr="00077FF3">
        <w:t xml:space="preserve">Excellence (NICE) 2015 Menopause </w:t>
      </w:r>
    </w:p>
    <w:p w:rsidR="00F026A8" w:rsidRPr="00077FF3" w:rsidRDefault="00F026A8" w:rsidP="00392BFA">
      <w:pPr>
        <w:rPr>
          <w:b/>
        </w:rPr>
      </w:pPr>
      <w:r w:rsidRPr="00077FF3">
        <w:t>NHS Patient Information</w:t>
      </w:r>
      <w:r w:rsidRPr="00077FF3">
        <w:tab/>
      </w:r>
      <w:r w:rsidRPr="00077FF3">
        <w:tab/>
      </w:r>
      <w:r w:rsidRPr="00077FF3">
        <w:tab/>
      </w:r>
      <w:r w:rsidRPr="00077FF3">
        <w:tab/>
      </w:r>
      <w:r w:rsidRPr="00392BFA">
        <w:rPr>
          <w:rStyle w:val="Hyperlink"/>
        </w:rPr>
        <w:t>www.patient.co.uk/menopause</w:t>
      </w:r>
    </w:p>
    <w:p w:rsidR="00F026A8" w:rsidRPr="00077FF3" w:rsidRDefault="00F026A8" w:rsidP="00392BFA"/>
    <w:p w:rsidR="00F026A8" w:rsidRPr="00077FF3" w:rsidRDefault="00F026A8" w:rsidP="00392BFA">
      <w:pPr>
        <w:rPr>
          <w:b/>
        </w:rPr>
      </w:pPr>
      <w:r w:rsidRPr="00077FF3">
        <w:t xml:space="preserve">Royal College of Obstetricians and </w:t>
      </w:r>
      <w:r w:rsidRPr="00077FF3">
        <w:tab/>
      </w:r>
      <w:r w:rsidRPr="00077FF3">
        <w:tab/>
      </w:r>
      <w:r w:rsidRPr="00077FF3">
        <w:tab/>
      </w:r>
      <w:r w:rsidRPr="00392BFA">
        <w:rPr>
          <w:rStyle w:val="Hyperlink"/>
        </w:rPr>
        <w:t>www.rcog.org.uk/en/patients</w:t>
      </w:r>
    </w:p>
    <w:p w:rsidR="00F026A8" w:rsidRPr="00077FF3" w:rsidRDefault="00F026A8" w:rsidP="00392BFA">
      <w:r w:rsidRPr="00077FF3">
        <w:t>Gynaecologists (RCOG) Menopause</w:t>
      </w:r>
    </w:p>
    <w:p w:rsidR="00F026A8" w:rsidRPr="00F026A8" w:rsidRDefault="00F026A8" w:rsidP="00F026A8">
      <w:pPr>
        <w:rPr>
          <w:lang w:val="en-US"/>
        </w:rPr>
      </w:pPr>
    </w:p>
    <w:sectPr w:rsidR="00F026A8" w:rsidRPr="00F026A8" w:rsidSect="00F026A8">
      <w:footerReference w:type="default" r:id="rId11"/>
      <w:pgSz w:w="11906" w:h="16838" w:code="257"/>
      <w:pgMar w:top="1021" w:right="1418" w:bottom="1021"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C27" w:rsidRDefault="00671C27" w:rsidP="000B51E2">
      <w:pPr>
        <w:spacing w:after="0" w:line="240" w:lineRule="auto"/>
      </w:pPr>
      <w:r>
        <w:separator/>
      </w:r>
    </w:p>
  </w:endnote>
  <w:endnote w:type="continuationSeparator" w:id="0">
    <w:p w:rsidR="00671C27" w:rsidRDefault="00671C27"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Pro-News">
    <w:altName w:val="Arial"/>
    <w:panose1 w:val="00000000000000000000"/>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B9" w:rsidRPr="00384A64" w:rsidRDefault="002A00B9" w:rsidP="002A00B9">
    <w:pPr>
      <w:pStyle w:val="Footer"/>
      <w:spacing w:after="120"/>
      <w:rPr>
        <w:color w:val="FFFFFF" w:themeColor="background1"/>
      </w:rPr>
    </w:pPr>
  </w:p>
  <w:p w:rsidR="0001380D" w:rsidRPr="00F026A8" w:rsidRDefault="00F026A8" w:rsidP="00F026A8">
    <w:pPr>
      <w:pStyle w:val="Footer"/>
      <w:pBdr>
        <w:top w:val="single" w:sz="4" w:space="18" w:color="1B4C87" w:themeColor="text2"/>
      </w:pBdr>
      <w:spacing w:after="120"/>
      <w:rPr>
        <w:color w:val="1B4C87" w:themeColor="text2"/>
      </w:rPr>
    </w:pPr>
    <w:r w:rsidRPr="00F026A8">
      <w:rPr>
        <w:color w:val="1B4C87" w:themeColor="text2"/>
      </w:rPr>
      <w:t>Hormone Replacement Therapy (HRT)</w:t>
    </w:r>
    <w:r w:rsidRPr="00F026A8">
      <w:rPr>
        <w:color w:val="1B4C87" w:themeColor="text2"/>
      </w:rPr>
      <w:tab/>
    </w:r>
    <w:r w:rsidR="002A00B9" w:rsidRPr="00F026A8">
      <w:rPr>
        <w:color w:val="1B4C87" w:themeColor="text2"/>
      </w:rPr>
      <w:tab/>
      <w:t>|</w:t>
    </w:r>
    <w:r w:rsidR="00C74935">
      <w:rPr>
        <w:color w:val="1B4C87" w:themeColor="text2"/>
      </w:rPr>
      <w:t xml:space="preserve"> </w:t>
    </w:r>
    <w:sdt>
      <w:sdtPr>
        <w:rPr>
          <w:color w:val="1B4C87" w:themeColor="text2"/>
        </w:rPr>
        <w:id w:val="-2027013047"/>
        <w:docPartObj>
          <w:docPartGallery w:val="Page Numbers (Bottom of Page)"/>
          <w:docPartUnique/>
        </w:docPartObj>
      </w:sdtPr>
      <w:sdtEndPr>
        <w:rPr>
          <w:noProof/>
        </w:rPr>
      </w:sdtEndPr>
      <w:sdtContent>
        <w:r w:rsidR="00BB619A" w:rsidRPr="00F026A8">
          <w:rPr>
            <w:color w:val="1B4C87" w:themeColor="text2"/>
          </w:rPr>
          <w:fldChar w:fldCharType="begin"/>
        </w:r>
        <w:r w:rsidR="002A00B9" w:rsidRPr="00F026A8">
          <w:rPr>
            <w:color w:val="1B4C87" w:themeColor="text2"/>
          </w:rPr>
          <w:instrText xml:space="preserve"> PAGE   \* MERGEFORMAT </w:instrText>
        </w:r>
        <w:r w:rsidR="00BB619A" w:rsidRPr="00F026A8">
          <w:rPr>
            <w:color w:val="1B4C87" w:themeColor="text2"/>
          </w:rPr>
          <w:fldChar w:fldCharType="separate"/>
        </w:r>
        <w:r w:rsidR="00993AF2">
          <w:rPr>
            <w:noProof/>
            <w:color w:val="1B4C87" w:themeColor="text2"/>
          </w:rPr>
          <w:t>3</w:t>
        </w:r>
        <w:r w:rsidR="00BB619A" w:rsidRPr="00F026A8">
          <w:rPr>
            <w:noProof/>
            <w:color w:val="1B4C87" w:themeColor="text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C27" w:rsidRDefault="00671C27" w:rsidP="000B51E2">
      <w:pPr>
        <w:spacing w:after="0" w:line="240" w:lineRule="auto"/>
      </w:pPr>
      <w:r>
        <w:separator/>
      </w:r>
    </w:p>
  </w:footnote>
  <w:footnote w:type="continuationSeparator" w:id="0">
    <w:p w:rsidR="00671C27" w:rsidRDefault="00671C27"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CE85C8"/>
    <w:lvl w:ilvl="0">
      <w:start w:val="1"/>
      <w:numFmt w:val="decimal"/>
      <w:lvlText w:val="%1."/>
      <w:lvlJc w:val="left"/>
      <w:pPr>
        <w:tabs>
          <w:tab w:val="num" w:pos="1492"/>
        </w:tabs>
        <w:ind w:left="1492" w:hanging="360"/>
      </w:pPr>
    </w:lvl>
  </w:abstractNum>
  <w:abstractNum w:abstractNumId="1">
    <w:nsid w:val="FFFFFF7D"/>
    <w:multiLevelType w:val="singleLevel"/>
    <w:tmpl w:val="7C8695E4"/>
    <w:lvl w:ilvl="0">
      <w:start w:val="1"/>
      <w:numFmt w:val="decimal"/>
      <w:lvlText w:val="%1."/>
      <w:lvlJc w:val="left"/>
      <w:pPr>
        <w:tabs>
          <w:tab w:val="num" w:pos="1209"/>
        </w:tabs>
        <w:ind w:left="1209" w:hanging="360"/>
      </w:pPr>
    </w:lvl>
  </w:abstractNum>
  <w:abstractNum w:abstractNumId="2">
    <w:nsid w:val="FFFFFF7E"/>
    <w:multiLevelType w:val="singleLevel"/>
    <w:tmpl w:val="A4A6FA50"/>
    <w:lvl w:ilvl="0">
      <w:start w:val="1"/>
      <w:numFmt w:val="decimal"/>
      <w:lvlText w:val="%1."/>
      <w:lvlJc w:val="left"/>
      <w:pPr>
        <w:tabs>
          <w:tab w:val="num" w:pos="926"/>
        </w:tabs>
        <w:ind w:left="926" w:hanging="360"/>
      </w:pPr>
    </w:lvl>
  </w:abstractNum>
  <w:abstractNum w:abstractNumId="3">
    <w:nsid w:val="FFFFFF7F"/>
    <w:multiLevelType w:val="singleLevel"/>
    <w:tmpl w:val="21807952"/>
    <w:lvl w:ilvl="0">
      <w:start w:val="1"/>
      <w:numFmt w:val="decimal"/>
      <w:lvlText w:val="%1."/>
      <w:lvlJc w:val="left"/>
      <w:pPr>
        <w:tabs>
          <w:tab w:val="num" w:pos="643"/>
        </w:tabs>
        <w:ind w:left="643" w:hanging="360"/>
      </w:pPr>
    </w:lvl>
  </w:abstractNum>
  <w:abstractNum w:abstractNumId="4">
    <w:nsid w:val="FFFFFF80"/>
    <w:multiLevelType w:val="singleLevel"/>
    <w:tmpl w:val="7428A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012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0AB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BE8F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E82BA0"/>
    <w:lvl w:ilvl="0">
      <w:start w:val="1"/>
      <w:numFmt w:val="decimal"/>
      <w:lvlText w:val="%1."/>
      <w:lvlJc w:val="left"/>
      <w:pPr>
        <w:tabs>
          <w:tab w:val="num" w:pos="360"/>
        </w:tabs>
        <w:ind w:left="360" w:hanging="360"/>
      </w:pPr>
    </w:lvl>
  </w:abstractNum>
  <w:abstractNum w:abstractNumId="9">
    <w:nsid w:val="FFFFFF89"/>
    <w:multiLevelType w:val="singleLevel"/>
    <w:tmpl w:val="F6AA93CE"/>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8EEC984A"/>
    <w:lvl w:ilvl="0" w:tplc="FD868C58">
      <w:start w:val="1"/>
      <w:numFmt w:val="bullet"/>
      <w:pStyle w:val="LRBodyTextBullet"/>
      <w:lvlText w:val="●"/>
      <w:lvlJc w:val="left"/>
      <w:pPr>
        <w:ind w:left="360" w:hanging="360"/>
      </w:pPr>
      <w:rPr>
        <w:rFonts w:ascii="Calibri" w:hAnsi="Calibri" w:hint="default"/>
        <w:b w:val="0"/>
        <w:i w:val="0"/>
        <w:color w:val="009FE2" w:themeColor="background2"/>
        <w:sz w:val="20"/>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1D8A63D7"/>
    <w:multiLevelType w:val="hybridMultilevel"/>
    <w:tmpl w:val="2D628BC2"/>
    <w:lvl w:ilvl="0" w:tplc="F61645BA">
      <w:start w:val="1"/>
      <w:numFmt w:val="decimal"/>
      <w:lvlText w:val="%1."/>
      <w:lvlJc w:val="left"/>
      <w:pPr>
        <w:ind w:left="720" w:hanging="360"/>
      </w:pPr>
      <w:rPr>
        <w:color w:val="009FE2"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F959D9"/>
    <w:multiLevelType w:val="hybridMultilevel"/>
    <w:tmpl w:val="3DE867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6A1733BF"/>
    <w:multiLevelType w:val="hybridMultilevel"/>
    <w:tmpl w:val="F1DC1C8E"/>
    <w:lvl w:ilvl="0" w:tplc="0B5ADB8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024"/>
  <w:defaultTabStop w:val="720"/>
  <w:characterSpacingControl w:val="doNotCompress"/>
  <w:hdrShapeDefaults>
    <o:shapedefaults v:ext="edit" spidmax="16385"/>
  </w:hdrShapeDefaults>
  <w:footnotePr>
    <w:footnote w:id="-1"/>
    <w:footnote w:id="0"/>
  </w:footnotePr>
  <w:endnotePr>
    <w:endnote w:id="-1"/>
    <w:endnote w:id="0"/>
  </w:endnotePr>
  <w:compat/>
  <w:rsids>
    <w:rsidRoot w:val="00100F18"/>
    <w:rsid w:val="0001380D"/>
    <w:rsid w:val="000B51E2"/>
    <w:rsid w:val="00100F18"/>
    <w:rsid w:val="001A0D22"/>
    <w:rsid w:val="00203322"/>
    <w:rsid w:val="002837F7"/>
    <w:rsid w:val="002A00B9"/>
    <w:rsid w:val="00392BFA"/>
    <w:rsid w:val="003C0B3B"/>
    <w:rsid w:val="004B7B3C"/>
    <w:rsid w:val="005F6F5B"/>
    <w:rsid w:val="00626C51"/>
    <w:rsid w:val="00671C27"/>
    <w:rsid w:val="006F2227"/>
    <w:rsid w:val="007B597E"/>
    <w:rsid w:val="007E4638"/>
    <w:rsid w:val="00912851"/>
    <w:rsid w:val="00937F74"/>
    <w:rsid w:val="00946A5E"/>
    <w:rsid w:val="0095641F"/>
    <w:rsid w:val="00993AF2"/>
    <w:rsid w:val="009C4C81"/>
    <w:rsid w:val="00AB52C6"/>
    <w:rsid w:val="00B02233"/>
    <w:rsid w:val="00B135AE"/>
    <w:rsid w:val="00B154AA"/>
    <w:rsid w:val="00B308E9"/>
    <w:rsid w:val="00BB619A"/>
    <w:rsid w:val="00BF176B"/>
    <w:rsid w:val="00BF5B62"/>
    <w:rsid w:val="00C074A7"/>
    <w:rsid w:val="00C74935"/>
    <w:rsid w:val="00DD4675"/>
    <w:rsid w:val="00DF54DA"/>
    <w:rsid w:val="00EE7484"/>
    <w:rsid w:val="00F02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33"/>
    <w:rPr>
      <w:sz w:val="24"/>
    </w:rPr>
  </w:style>
  <w:style w:type="paragraph" w:styleId="Heading1">
    <w:name w:val="heading 1"/>
    <w:basedOn w:val="Normal"/>
    <w:next w:val="Normal"/>
    <w:link w:val="Heading1Char"/>
    <w:uiPriority w:val="9"/>
    <w:qFormat/>
    <w:rsid w:val="00AB52C6"/>
    <w:pPr>
      <w:keepNext/>
      <w:keepLines/>
      <w:pBdr>
        <w:bottom w:val="single" w:sz="4" w:space="20" w:color="1B4C87" w:themeColor="text2"/>
      </w:pBdr>
      <w:spacing w:after="600" w:line="240" w:lineRule="auto"/>
      <w:outlineLvl w:val="0"/>
    </w:pPr>
    <w:rPr>
      <w:rFonts w:ascii="Calibri" w:eastAsia="Times New Roman" w:hAnsi="Calibri" w:cs="Times New Roman"/>
      <w:bCs/>
      <w:color w:val="1B4C87" w:themeColor="text2"/>
      <w:sz w:val="60"/>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946A5E"/>
    <w:pPr>
      <w:keepNext/>
      <w:keepLines/>
      <w:spacing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92BFA"/>
    <w:pPr>
      <w:keepNext/>
      <w:keepLines/>
      <w:spacing w:before="40" w:after="0"/>
      <w:outlineLvl w:val="3"/>
    </w:pPr>
    <w:rPr>
      <w:rFonts w:eastAsiaTheme="majorEastAsia" w:cstheme="majorBidi"/>
      <w:i/>
      <w:iCs/>
      <w:color w:val="009FE2" w:themeColor="background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F18"/>
    <w:rPr>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AB52C6"/>
    <w:rPr>
      <w:rFonts w:ascii="Calibri" w:eastAsia="Times New Roman" w:hAnsi="Calibri" w:cs="Times New Roman"/>
      <w:bCs/>
      <w:color w:val="1B4C87" w:themeColor="text2"/>
      <w:sz w:val="60"/>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946A5E"/>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01380D"/>
    <w:pPr>
      <w:numPr>
        <w:numId w:val="1"/>
      </w:numPr>
      <w:suppressAutoHyphens/>
      <w:spacing w:after="80" w:line="240" w:lineRule="auto"/>
      <w:ind w:right="-340"/>
    </w:pPr>
    <w:rPr>
      <w:rFonts w:eastAsia="Times New Roman" w:cs="Times New Roman"/>
      <w:kern w:val="20"/>
      <w:szCs w:val="24"/>
      <w:lang w:eastAsia="en-GB"/>
    </w:rPr>
  </w:style>
  <w:style w:type="paragraph" w:styleId="BodyText">
    <w:name w:val="Body Text"/>
    <w:basedOn w:val="Normal"/>
    <w:link w:val="BodyTextChar"/>
    <w:uiPriority w:val="99"/>
    <w:unhideWhenUsed/>
    <w:rsid w:val="001A0D22"/>
    <w:pPr>
      <w:spacing w:after="240" w:line="240" w:lineRule="auto"/>
    </w:pPr>
    <w:rPr>
      <w:rFonts w:eastAsia="Times New Roman" w:cs="Times New Roman"/>
      <w:szCs w:val="21"/>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rsid w:val="00392BFA"/>
    <w:rPr>
      <w:rFonts w:eastAsiaTheme="majorEastAsia" w:cstheme="majorBidi"/>
      <w:i/>
      <w:iCs/>
      <w:color w:val="009FE2" w:themeColor="background2"/>
      <w:sz w:val="26"/>
    </w:rPr>
  </w:style>
  <w:style w:type="character" w:styleId="IntenseEmphasis">
    <w:name w:val="Intense Emphasis"/>
    <w:basedOn w:val="DefaultParagraphFont"/>
    <w:uiPriority w:val="21"/>
    <w:qFormat/>
    <w:rsid w:val="001A0D22"/>
    <w:rPr>
      <w:i/>
      <w:iCs/>
      <w:color w:val="1B4C87" w:themeColor="text2"/>
    </w:rPr>
  </w:style>
  <w:style w:type="paragraph" w:customStyle="1" w:styleId="Table">
    <w:name w:val="Table"/>
    <w:basedOn w:val="Normal"/>
    <w:qFormat/>
    <w:rsid w:val="00EE74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bm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B3BE-67DE-4262-AF1B-07A6125C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Monaghans</cp:lastModifiedBy>
  <cp:revision>5</cp:revision>
  <dcterms:created xsi:type="dcterms:W3CDTF">2021-09-07T11:31:00Z</dcterms:created>
  <dcterms:modified xsi:type="dcterms:W3CDTF">2021-09-07T11:33:00Z</dcterms:modified>
</cp:coreProperties>
</file>